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192932">
      <w:pPr>
        <w:pStyle w:val="4"/>
        <w:keepNext w:val="0"/>
        <w:keepLines w:val="0"/>
        <w:pageBreakBefore w:val="0"/>
        <w:widowControl/>
        <w:suppressLineNumbers w:val="0"/>
        <w:kinsoku/>
        <w:wordWrap/>
        <w:overflowPunct/>
        <w:topLinePunct/>
        <w:autoSpaceDE/>
        <w:autoSpaceDN/>
        <w:bidi w:val="0"/>
        <w:adjustRightInd/>
        <w:snapToGrid/>
        <w:spacing w:before="0" w:beforeLines="0" w:beforeAutospacing="0" w:after="0" w:afterLines="0" w:afterAutospacing="0" w:line="560" w:lineRule="exact"/>
        <w:ind w:right="0" w:righ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p>
    <w:p w14:paraId="71766D67">
      <w:pPr>
        <w:keepNext w:val="0"/>
        <w:keepLines w:val="0"/>
        <w:pageBreakBefore w:val="0"/>
        <w:widowControl w:val="0"/>
        <w:kinsoku/>
        <w:wordWrap/>
        <w:overflowPunct/>
        <w:topLinePunct w:val="0"/>
        <w:autoSpaceDE/>
        <w:autoSpaceDN/>
        <w:bidi w:val="0"/>
        <w:adjustRightInd/>
        <w:snapToGrid/>
        <w:spacing w:line="560" w:lineRule="exact"/>
        <w:ind w:firstLine="720" w:firstLineChars="200"/>
        <w:jc w:val="center"/>
        <w:textAlignment w:val="auto"/>
        <w:rPr>
          <w:rFonts w:hint="eastAsia" w:ascii="方正小标宋简体" w:hAnsi="方正小标宋简体" w:eastAsia="方正小标宋简体" w:cs="方正小标宋简体"/>
          <w:color w:val="auto"/>
          <w:sz w:val="36"/>
          <w:szCs w:val="36"/>
          <w:highlight w:val="none"/>
          <w:shd w:val="clear" w:color="auto" w:fill="FFFFFF"/>
          <w:lang w:val="en-US" w:eastAsia="zh-CN"/>
        </w:rPr>
      </w:pPr>
      <w:bookmarkStart w:id="0" w:name="_GoBack"/>
      <w:r>
        <w:rPr>
          <w:rFonts w:hint="eastAsia" w:ascii="方正小标宋简体" w:hAnsi="方正小标宋简体" w:eastAsia="方正小标宋简体" w:cs="方正小标宋简体"/>
          <w:color w:val="auto"/>
          <w:sz w:val="36"/>
          <w:szCs w:val="36"/>
          <w:highlight w:val="none"/>
          <w:shd w:val="clear" w:color="auto" w:fill="FFFFFF"/>
          <w:lang w:val="en-US" w:eastAsia="zh-CN"/>
        </w:rPr>
        <w:t>2024-2025年度产业工人队伍建设改革政策落实情况审计购买社会中介机构服务项目评分表</w:t>
      </w:r>
    </w:p>
    <w:bookmarkEnd w:id="0"/>
    <w:tbl>
      <w:tblPr>
        <w:tblStyle w:val="5"/>
        <w:tblpPr w:leftFromText="180" w:rightFromText="180" w:vertAnchor="text" w:horzAnchor="page" w:tblpX="1605" w:tblpY="503"/>
        <w:tblOverlap w:val="never"/>
        <w:tblW w:w="9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217"/>
        <w:gridCol w:w="964"/>
        <w:gridCol w:w="6698"/>
      </w:tblGrid>
      <w:tr w14:paraId="1EB6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43" w:type="dxa"/>
            <w:tcBorders>
              <w:top w:val="single" w:color="auto" w:sz="4" w:space="0"/>
              <w:left w:val="single" w:color="auto" w:sz="4" w:space="0"/>
              <w:bottom w:val="single" w:color="auto" w:sz="4" w:space="0"/>
              <w:right w:val="single" w:color="auto" w:sz="4" w:space="0"/>
            </w:tcBorders>
            <w:noWrap w:val="0"/>
            <w:vAlign w:val="bottom"/>
          </w:tcPr>
          <w:p w14:paraId="02CA8331">
            <w:pPr>
              <w:keepNext w:val="0"/>
              <w:keepLines w:val="0"/>
              <w:pageBreakBefore w:val="0"/>
              <w:kinsoku/>
              <w:wordWrap/>
              <w:overflowPunct/>
              <w:topLinePunct/>
              <w:autoSpaceDE/>
              <w:autoSpaceDN/>
              <w:bidi w:val="0"/>
              <w:adjustRightInd/>
              <w:spacing w:line="400" w:lineRule="exact"/>
              <w:jc w:val="center"/>
              <w:textAlignment w:val="auto"/>
              <w:rPr>
                <w:rFonts w:hint="eastAsia" w:ascii="黑体" w:hAnsi="黑体" w:eastAsia="黑体" w:cs="黑体"/>
                <w:b w:val="0"/>
                <w:bCs/>
                <w:color w:val="auto"/>
                <w:sz w:val="24"/>
              </w:rPr>
            </w:pPr>
            <w:r>
              <w:rPr>
                <w:rFonts w:hint="eastAsia" w:ascii="黑体" w:hAnsi="黑体" w:eastAsia="黑体" w:cs="黑体"/>
                <w:b w:val="0"/>
                <w:bCs/>
                <w:color w:val="auto"/>
                <w:sz w:val="24"/>
              </w:rPr>
              <w:t>序号</w:t>
            </w:r>
          </w:p>
        </w:tc>
        <w:tc>
          <w:tcPr>
            <w:tcW w:w="1217" w:type="dxa"/>
            <w:tcBorders>
              <w:top w:val="single" w:color="auto" w:sz="4" w:space="0"/>
              <w:left w:val="single" w:color="auto" w:sz="4" w:space="0"/>
              <w:bottom w:val="single" w:color="auto" w:sz="4" w:space="0"/>
              <w:right w:val="single" w:color="auto" w:sz="4" w:space="0"/>
            </w:tcBorders>
            <w:noWrap w:val="0"/>
            <w:vAlign w:val="bottom"/>
          </w:tcPr>
          <w:p w14:paraId="60B45717">
            <w:pPr>
              <w:keepNext w:val="0"/>
              <w:keepLines w:val="0"/>
              <w:pageBreakBefore w:val="0"/>
              <w:kinsoku/>
              <w:wordWrap/>
              <w:overflowPunct/>
              <w:topLinePunct/>
              <w:autoSpaceDE/>
              <w:autoSpaceDN/>
              <w:bidi w:val="0"/>
              <w:adjustRightInd/>
              <w:spacing w:line="400" w:lineRule="exact"/>
              <w:jc w:val="center"/>
              <w:textAlignment w:val="auto"/>
              <w:rPr>
                <w:rFonts w:hint="eastAsia" w:ascii="黑体" w:hAnsi="黑体" w:eastAsia="黑体" w:cs="黑体"/>
                <w:b w:val="0"/>
                <w:bCs/>
                <w:color w:val="auto"/>
                <w:sz w:val="24"/>
              </w:rPr>
            </w:pPr>
            <w:r>
              <w:rPr>
                <w:rFonts w:hint="eastAsia" w:ascii="黑体" w:hAnsi="黑体" w:eastAsia="黑体" w:cs="黑体"/>
                <w:b w:val="0"/>
                <w:bCs/>
                <w:color w:val="auto"/>
                <w:sz w:val="24"/>
              </w:rPr>
              <w:t>评审项目</w:t>
            </w:r>
          </w:p>
        </w:tc>
        <w:tc>
          <w:tcPr>
            <w:tcW w:w="964" w:type="dxa"/>
            <w:tcBorders>
              <w:top w:val="single" w:color="auto" w:sz="4" w:space="0"/>
              <w:left w:val="single" w:color="auto" w:sz="4" w:space="0"/>
              <w:bottom w:val="single" w:color="auto" w:sz="4" w:space="0"/>
              <w:right w:val="single" w:color="auto" w:sz="4" w:space="0"/>
            </w:tcBorders>
            <w:noWrap w:val="0"/>
            <w:vAlign w:val="bottom"/>
          </w:tcPr>
          <w:p w14:paraId="6B9DA3B8">
            <w:pPr>
              <w:keepNext w:val="0"/>
              <w:keepLines w:val="0"/>
              <w:pageBreakBefore w:val="0"/>
              <w:kinsoku/>
              <w:wordWrap/>
              <w:overflowPunct/>
              <w:topLinePunct/>
              <w:autoSpaceDE/>
              <w:autoSpaceDN/>
              <w:bidi w:val="0"/>
              <w:adjustRightInd/>
              <w:spacing w:line="400" w:lineRule="exact"/>
              <w:jc w:val="center"/>
              <w:textAlignment w:val="auto"/>
              <w:rPr>
                <w:rFonts w:hint="eastAsia" w:ascii="黑体" w:hAnsi="黑体" w:eastAsia="黑体" w:cs="黑体"/>
                <w:b w:val="0"/>
                <w:bCs/>
                <w:color w:val="auto"/>
                <w:sz w:val="24"/>
              </w:rPr>
            </w:pPr>
            <w:r>
              <w:rPr>
                <w:rFonts w:hint="eastAsia" w:ascii="黑体" w:hAnsi="黑体" w:eastAsia="黑体" w:cs="黑体"/>
                <w:b w:val="0"/>
                <w:bCs/>
                <w:color w:val="auto"/>
                <w:sz w:val="24"/>
              </w:rPr>
              <w:t>标准分</w:t>
            </w:r>
          </w:p>
        </w:tc>
        <w:tc>
          <w:tcPr>
            <w:tcW w:w="6698" w:type="dxa"/>
            <w:tcBorders>
              <w:top w:val="single" w:color="auto" w:sz="4" w:space="0"/>
              <w:left w:val="single" w:color="auto" w:sz="4" w:space="0"/>
              <w:bottom w:val="single" w:color="auto" w:sz="4" w:space="0"/>
              <w:right w:val="single" w:color="auto" w:sz="4" w:space="0"/>
            </w:tcBorders>
            <w:noWrap w:val="0"/>
            <w:vAlign w:val="bottom"/>
          </w:tcPr>
          <w:p w14:paraId="780D48B2">
            <w:pPr>
              <w:keepNext w:val="0"/>
              <w:keepLines w:val="0"/>
              <w:pageBreakBefore w:val="0"/>
              <w:kinsoku/>
              <w:wordWrap/>
              <w:overflowPunct/>
              <w:topLinePunct/>
              <w:autoSpaceDE/>
              <w:autoSpaceDN/>
              <w:bidi w:val="0"/>
              <w:adjustRightInd/>
              <w:spacing w:line="400" w:lineRule="exact"/>
              <w:jc w:val="center"/>
              <w:textAlignment w:val="auto"/>
              <w:rPr>
                <w:rFonts w:hint="eastAsia" w:ascii="黑体" w:hAnsi="黑体" w:eastAsia="黑体" w:cs="黑体"/>
                <w:b w:val="0"/>
                <w:bCs/>
                <w:color w:val="auto"/>
                <w:sz w:val="24"/>
              </w:rPr>
            </w:pPr>
            <w:r>
              <w:rPr>
                <w:rFonts w:hint="eastAsia" w:ascii="黑体" w:hAnsi="黑体" w:eastAsia="黑体" w:cs="黑体"/>
                <w:b w:val="0"/>
                <w:bCs/>
                <w:color w:val="auto"/>
                <w:sz w:val="24"/>
              </w:rPr>
              <w:t>评分标准</w:t>
            </w:r>
          </w:p>
        </w:tc>
      </w:tr>
      <w:tr w14:paraId="24C9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7C43A35B">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color w:val="auto"/>
                <w:sz w:val="24"/>
              </w:rPr>
            </w:pPr>
            <w:r>
              <w:rPr>
                <w:rFonts w:hint="eastAsia" w:ascii="仿宋" w:hAnsi="仿宋" w:eastAsia="仿宋" w:cs="仿宋"/>
                <w:color w:val="auto"/>
                <w:sz w:val="24"/>
              </w:rPr>
              <w:t>1</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CF62BAB">
            <w:pPr>
              <w:keepNext w:val="0"/>
              <w:keepLines w:val="0"/>
              <w:pageBreakBefore w:val="0"/>
              <w:kinsoku/>
              <w:wordWrap/>
              <w:overflowPunct/>
              <w:topLinePunct w:val="0"/>
              <w:autoSpaceDE/>
              <w:autoSpaceDN/>
              <w:bidi w:val="0"/>
              <w:adjustRightInd/>
              <w:snapToGrid w:val="0"/>
              <w:spacing w:line="300" w:lineRule="exact"/>
              <w:ind w:firstLine="480" w:firstLineChars="200"/>
              <w:jc w:val="center"/>
              <w:textAlignment w:val="auto"/>
              <w:rPr>
                <w:rFonts w:hint="eastAsia" w:ascii="仿宋" w:hAnsi="仿宋" w:eastAsia="仿宋" w:cs="仿宋"/>
                <w:color w:val="auto"/>
                <w:sz w:val="24"/>
              </w:rPr>
            </w:pPr>
          </w:p>
          <w:p w14:paraId="709091BA">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rPr>
            </w:pPr>
            <w:r>
              <w:rPr>
                <w:rFonts w:hint="eastAsia" w:ascii="仿宋" w:hAnsi="仿宋" w:eastAsia="仿宋" w:cs="仿宋"/>
                <w:color w:val="auto"/>
                <w:sz w:val="24"/>
                <w:lang w:eastAsia="zh-CN"/>
              </w:rPr>
              <w:t>响应</w:t>
            </w:r>
            <w:r>
              <w:rPr>
                <w:rFonts w:hint="eastAsia" w:ascii="仿宋" w:hAnsi="仿宋" w:eastAsia="仿宋" w:cs="仿宋"/>
                <w:color w:val="auto"/>
                <w:sz w:val="24"/>
              </w:rPr>
              <w:t>报价</w:t>
            </w:r>
          </w:p>
          <w:p w14:paraId="2CBAFE84">
            <w:pPr>
              <w:keepNext w:val="0"/>
              <w:keepLines w:val="0"/>
              <w:pageBreakBefore w:val="0"/>
              <w:kinsoku/>
              <w:wordWrap/>
              <w:overflowPunct/>
              <w:topLinePunct w:val="0"/>
              <w:autoSpaceDE/>
              <w:autoSpaceDN/>
              <w:bidi w:val="0"/>
              <w:adjustRightInd/>
              <w:snapToGrid w:val="0"/>
              <w:spacing w:line="300" w:lineRule="exact"/>
              <w:ind w:firstLine="480" w:firstLineChars="200"/>
              <w:jc w:val="center"/>
              <w:textAlignment w:val="auto"/>
              <w:rPr>
                <w:rFonts w:hint="eastAsia" w:ascii="仿宋" w:hAnsi="仿宋" w:eastAsia="仿宋" w:cs="仿宋"/>
                <w:color w:val="auto"/>
                <w:sz w:val="24"/>
              </w:rPr>
            </w:pPr>
          </w:p>
        </w:tc>
        <w:tc>
          <w:tcPr>
            <w:tcW w:w="964" w:type="dxa"/>
            <w:tcBorders>
              <w:top w:val="single" w:color="auto" w:sz="4" w:space="0"/>
              <w:left w:val="single" w:color="auto" w:sz="4" w:space="0"/>
              <w:bottom w:val="single" w:color="auto" w:sz="4" w:space="0"/>
              <w:right w:val="single" w:color="auto" w:sz="4" w:space="0"/>
            </w:tcBorders>
            <w:noWrap w:val="0"/>
            <w:vAlign w:val="center"/>
          </w:tcPr>
          <w:p w14:paraId="62720804">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10</w:t>
            </w:r>
            <w:r>
              <w:rPr>
                <w:rFonts w:hint="eastAsia" w:ascii="仿宋" w:hAnsi="仿宋" w:eastAsia="仿宋" w:cs="仿宋"/>
                <w:color w:val="auto"/>
                <w:sz w:val="24"/>
              </w:rPr>
              <w:t>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321F22DF">
            <w:pPr>
              <w:keepNext w:val="0"/>
              <w:keepLines w:val="0"/>
              <w:pageBreakBefore w:val="0"/>
              <w:kinsoku/>
              <w:wordWrap/>
              <w:overflowPunct/>
              <w:topLinePunct w:val="0"/>
              <w:autoSpaceDE/>
              <w:autoSpaceDN/>
              <w:bidi w:val="0"/>
              <w:adjustRightInd/>
              <w:snapToGrid w:val="0"/>
              <w:spacing w:line="300" w:lineRule="exact"/>
              <w:ind w:firstLine="482" w:firstLineChars="200"/>
              <w:textAlignment w:val="auto"/>
              <w:rPr>
                <w:rFonts w:hint="eastAsia" w:ascii="仿宋" w:hAnsi="仿宋" w:eastAsia="仿宋" w:cs="仿宋"/>
                <w:b/>
                <w:bCs/>
                <w:i w:val="0"/>
                <w:iCs w:val="0"/>
                <w:color w:val="auto"/>
                <w:sz w:val="24"/>
                <w:lang w:eastAsia="zh-CN"/>
              </w:rPr>
            </w:pPr>
            <w:r>
              <w:rPr>
                <w:rFonts w:hint="eastAsia" w:ascii="仿宋" w:hAnsi="仿宋" w:eastAsia="仿宋" w:cs="仿宋"/>
                <w:b/>
                <w:bCs/>
                <w:i w:val="0"/>
                <w:iCs w:val="0"/>
                <w:color w:val="auto"/>
                <w:sz w:val="24"/>
                <w:lang w:eastAsia="zh-CN"/>
              </w:rPr>
              <w:t>满足采购文件要求且投标价格最低的投标报价为评标基准价，其价格分为满分。其他投标人的价格分统一按照下列公式计算：</w:t>
            </w:r>
          </w:p>
          <w:p w14:paraId="136615E3">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rPr>
            </w:pPr>
            <w:r>
              <w:rPr>
                <w:rFonts w:hint="eastAsia" w:ascii="仿宋" w:hAnsi="仿宋" w:eastAsia="仿宋" w:cs="仿宋"/>
                <w:color w:val="auto"/>
                <w:sz w:val="24"/>
                <w:lang w:eastAsia="zh-CN"/>
              </w:rPr>
              <w:t>投标报价得分= (评标基准价/投标报价)×</w:t>
            </w:r>
            <w:r>
              <w:rPr>
                <w:rFonts w:hint="eastAsia" w:ascii="仿宋" w:hAnsi="仿宋" w:eastAsia="仿宋" w:cs="仿宋"/>
                <w:color w:val="auto"/>
                <w:sz w:val="24"/>
                <w:lang w:val="en-US" w:eastAsia="zh-CN"/>
              </w:rPr>
              <w:t>10</w:t>
            </w:r>
          </w:p>
        </w:tc>
      </w:tr>
      <w:tr w14:paraId="7E86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9"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0C264FB8">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color w:val="auto"/>
                <w:sz w:val="24"/>
                <w:lang w:eastAsia="zh-CN"/>
              </w:rPr>
            </w:pPr>
            <w:r>
              <w:rPr>
                <w:rFonts w:hint="eastAsia" w:ascii="仿宋" w:hAnsi="仿宋" w:eastAsia="仿宋" w:cs="仿宋"/>
                <w:color w:val="auto"/>
                <w:sz w:val="24"/>
                <w:lang w:val="en-US" w:eastAsia="zh-CN"/>
              </w:rPr>
              <w:t>2</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D931A10">
            <w:pPr>
              <w:keepNext w:val="0"/>
              <w:keepLines w:val="0"/>
              <w:pageBreakBefore w:val="0"/>
              <w:kinsoku/>
              <w:wordWrap/>
              <w:overflowPunct/>
              <w:topLinePunct w:val="0"/>
              <w:autoSpaceDE/>
              <w:autoSpaceDN/>
              <w:bidi w:val="0"/>
              <w:adjustRightInd/>
              <w:snapToGrid w:val="0"/>
              <w:spacing w:line="300" w:lineRule="exact"/>
              <w:jc w:val="both"/>
              <w:textAlignment w:val="auto"/>
              <w:rPr>
                <w:rFonts w:hint="eastAsia" w:ascii="仿宋" w:hAnsi="仿宋" w:eastAsia="仿宋" w:cs="仿宋"/>
                <w:color w:val="auto"/>
                <w:sz w:val="24"/>
              </w:rPr>
            </w:pPr>
            <w:r>
              <w:rPr>
                <w:rFonts w:hint="eastAsia" w:ascii="仿宋" w:hAnsi="仿宋" w:eastAsia="仿宋" w:cs="仿宋"/>
                <w:color w:val="auto"/>
                <w:sz w:val="24"/>
                <w:lang w:eastAsia="zh-CN"/>
              </w:rPr>
              <w:t>类似</w:t>
            </w:r>
            <w:r>
              <w:rPr>
                <w:rFonts w:hint="eastAsia" w:ascii="仿宋" w:hAnsi="仿宋" w:eastAsia="仿宋" w:cs="仿宋"/>
                <w:color w:val="auto"/>
                <w:sz w:val="24"/>
              </w:rPr>
              <w:t>业绩</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17E0B994">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10</w:t>
            </w:r>
            <w:r>
              <w:rPr>
                <w:rFonts w:hint="eastAsia" w:ascii="仿宋" w:hAnsi="仿宋" w:eastAsia="仿宋" w:cs="仿宋"/>
                <w:color w:val="auto"/>
                <w:sz w:val="24"/>
              </w:rPr>
              <w:t>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568427A6">
            <w:pPr>
              <w:keepNext w:val="0"/>
              <w:keepLines w:val="0"/>
              <w:pageBreakBefore w:val="0"/>
              <w:kinsoku/>
              <w:wordWrap/>
              <w:overflowPunct/>
              <w:topLinePunct w:val="0"/>
              <w:autoSpaceDE/>
              <w:autoSpaceDN/>
              <w:bidi w:val="0"/>
              <w:adjustRightInd/>
              <w:snapToGrid w:val="0"/>
              <w:spacing w:line="300" w:lineRule="exact"/>
              <w:ind w:firstLine="482" w:firstLineChars="200"/>
              <w:textAlignment w:val="auto"/>
              <w:rPr>
                <w:rFonts w:hint="eastAsia" w:ascii="仿宋" w:hAnsi="仿宋" w:eastAsia="仿宋" w:cs="仿宋"/>
                <w:b/>
                <w:bCs/>
                <w:color w:val="auto"/>
                <w:sz w:val="24"/>
              </w:rPr>
            </w:pPr>
            <w:r>
              <w:rPr>
                <w:rFonts w:hint="eastAsia" w:ascii="仿宋" w:hAnsi="仿宋" w:eastAsia="仿宋" w:cs="仿宋"/>
                <w:b/>
                <w:bCs/>
                <w:color w:val="auto"/>
                <w:sz w:val="24"/>
              </w:rPr>
              <w:t>投标人近三年（20</w:t>
            </w:r>
            <w:r>
              <w:rPr>
                <w:rFonts w:hint="eastAsia" w:ascii="仿宋" w:hAnsi="仿宋" w:eastAsia="仿宋" w:cs="仿宋"/>
                <w:b/>
                <w:bCs/>
                <w:color w:val="auto"/>
                <w:sz w:val="24"/>
                <w:lang w:val="en-US" w:eastAsia="zh-CN"/>
              </w:rPr>
              <w:t>23</w:t>
            </w:r>
            <w:r>
              <w:rPr>
                <w:rFonts w:hint="eastAsia" w:ascii="仿宋" w:hAnsi="仿宋" w:eastAsia="仿宋" w:cs="仿宋"/>
                <w:b/>
                <w:bCs/>
                <w:color w:val="auto"/>
                <w:sz w:val="24"/>
              </w:rPr>
              <w:t>年</w:t>
            </w:r>
            <w:r>
              <w:rPr>
                <w:rFonts w:hint="eastAsia" w:ascii="仿宋" w:hAnsi="仿宋" w:eastAsia="仿宋" w:cs="仿宋"/>
                <w:b/>
                <w:bCs/>
                <w:color w:val="auto"/>
                <w:sz w:val="24"/>
                <w:lang w:val="en-US" w:eastAsia="zh-CN"/>
              </w:rPr>
              <w:t>9</w:t>
            </w:r>
            <w:r>
              <w:rPr>
                <w:rFonts w:hint="eastAsia" w:ascii="仿宋" w:hAnsi="仿宋" w:eastAsia="仿宋" w:cs="仿宋"/>
                <w:b/>
                <w:bCs/>
                <w:color w:val="auto"/>
                <w:sz w:val="24"/>
              </w:rPr>
              <w:t>月至今）每有一项</w:t>
            </w:r>
            <w:r>
              <w:rPr>
                <w:rFonts w:hint="eastAsia" w:ascii="仿宋" w:hAnsi="仿宋" w:eastAsia="仿宋" w:cs="仿宋"/>
                <w:b/>
                <w:bCs/>
                <w:color w:val="auto"/>
                <w:sz w:val="24"/>
                <w:rtl w:val="0"/>
                <w:lang w:val="en-US" w:eastAsia="zh-CN"/>
              </w:rPr>
              <w:t>类似</w:t>
            </w:r>
            <w:r>
              <w:rPr>
                <w:rFonts w:hint="eastAsia" w:ascii="仿宋" w:hAnsi="仿宋" w:eastAsia="仿宋" w:cs="仿宋"/>
                <w:b/>
                <w:bCs/>
                <w:color w:val="auto"/>
                <w:sz w:val="24"/>
              </w:rPr>
              <w:t>业绩得</w:t>
            </w: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分，得够标准分为止。</w:t>
            </w:r>
          </w:p>
          <w:p w14:paraId="13F38E07">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注：1.须提供合同关键页或中标（成交）通知书复印件并加盖公章，否则不得分（关键页包括但不限于合同封面、采购内容、合同签字盖章页（甲乙双方盖章））等；2.供应商应确保所提供的所有资料真实有效，若提供虚假证明资料，成交无效，且供应商必须承担相应责任。</w:t>
            </w:r>
          </w:p>
        </w:tc>
      </w:tr>
      <w:tr w14:paraId="4A4F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6795C70E">
            <w:pPr>
              <w:keepNext w:val="0"/>
              <w:keepLines w:val="0"/>
              <w:pageBreakBefore w:val="0"/>
              <w:kinsoku/>
              <w:wordWrap/>
              <w:overflowPunct/>
              <w:topLinePunct/>
              <w:autoSpaceDE/>
              <w:autoSpaceDN/>
              <w:bidi w:val="0"/>
              <w:adjustRightInd/>
              <w:snapToGrid w:val="0"/>
              <w:spacing w:line="300" w:lineRule="exact"/>
              <w:jc w:val="center"/>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3</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708B247">
            <w:pPr>
              <w:keepNext w:val="0"/>
              <w:keepLines w:val="0"/>
              <w:pageBreakBefore w:val="0"/>
              <w:kinsoku/>
              <w:wordWrap/>
              <w:overflowPunct/>
              <w:topLinePunct w:val="0"/>
              <w:autoSpaceDE/>
              <w:autoSpaceDN/>
              <w:bidi w:val="0"/>
              <w:adjustRightInd/>
              <w:snapToGrid w:val="0"/>
              <w:spacing w:line="300" w:lineRule="exact"/>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时间进度</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4756B86F">
            <w:pPr>
              <w:keepNext w:val="0"/>
              <w:keepLines w:val="0"/>
              <w:pageBreakBefore w:val="0"/>
              <w:kinsoku/>
              <w:wordWrap/>
              <w:overflowPunct/>
              <w:topLinePunct w:val="0"/>
              <w:autoSpaceDE/>
              <w:autoSpaceDN/>
              <w:bidi w:val="0"/>
              <w:adjustRightInd/>
              <w:snapToGrid w:val="0"/>
              <w:spacing w:line="300" w:lineRule="exact"/>
              <w:jc w:val="center"/>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10分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2B78EDB2">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供应商针对本项目具体情况及审计内容出具具体的时间进度计划及保障措施内容：</w:t>
            </w:r>
          </w:p>
          <w:p w14:paraId="2910FB71">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①时间进度计划及保障措施详细、全面，对于相应阶段成果等内容描述条理清楚、思路清晰，科学合理、完全满足本项目计划进度要求的得</w:t>
            </w:r>
            <w:r>
              <w:rPr>
                <w:rFonts w:hint="eastAsia" w:ascii="仿宋" w:hAnsi="仿宋" w:eastAsia="仿宋" w:cs="仿宋"/>
                <w:color w:val="auto"/>
                <w:sz w:val="24"/>
                <w:lang w:val="en-US" w:eastAsia="zh-CN"/>
              </w:rPr>
              <w:t>8-</w:t>
            </w:r>
            <w:r>
              <w:rPr>
                <w:rFonts w:hint="default" w:ascii="仿宋" w:hAnsi="仿宋" w:eastAsia="仿宋" w:cs="仿宋"/>
                <w:color w:val="auto"/>
                <w:sz w:val="24"/>
                <w:lang w:val="en-US" w:eastAsia="zh-CN"/>
              </w:rPr>
              <w:t>1</w:t>
            </w:r>
            <w:r>
              <w:rPr>
                <w:rFonts w:hint="eastAsia" w:ascii="仿宋" w:hAnsi="仿宋" w:eastAsia="仿宋" w:cs="仿宋"/>
                <w:color w:val="auto"/>
                <w:sz w:val="24"/>
                <w:lang w:val="en-US" w:eastAsia="zh-CN"/>
              </w:rPr>
              <w:t>0</w:t>
            </w:r>
            <w:r>
              <w:rPr>
                <w:rFonts w:hint="default" w:ascii="仿宋" w:hAnsi="仿宋" w:eastAsia="仿宋" w:cs="仿宋"/>
                <w:color w:val="auto"/>
                <w:sz w:val="24"/>
                <w:lang w:val="en-US" w:eastAsia="zh-CN"/>
              </w:rPr>
              <w:t>分 ;</w:t>
            </w:r>
          </w:p>
          <w:p w14:paraId="3138F3D6">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②时间进度计划及保障措施完整，对于相应阶段成果等内容描述条理较清楚、思路较清晰，能满足本项目进度计划要求的得</w:t>
            </w:r>
            <w:r>
              <w:rPr>
                <w:rFonts w:hint="eastAsia" w:ascii="仿宋" w:hAnsi="仿宋" w:eastAsia="仿宋" w:cs="仿宋"/>
                <w:color w:val="auto"/>
                <w:sz w:val="24"/>
                <w:lang w:val="en-US" w:eastAsia="zh-CN"/>
              </w:rPr>
              <w:t>5-7</w:t>
            </w:r>
            <w:r>
              <w:rPr>
                <w:rFonts w:hint="default" w:ascii="仿宋" w:hAnsi="仿宋" w:eastAsia="仿宋" w:cs="仿宋"/>
                <w:color w:val="auto"/>
                <w:sz w:val="24"/>
                <w:lang w:val="en-US" w:eastAsia="zh-CN"/>
              </w:rPr>
              <w:t>分；</w:t>
            </w:r>
          </w:p>
          <w:p w14:paraId="03C28A39">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③时间进度计划及保障措施基本不完整，对于相应阶段成果等内容描述条理不够清楚、思路模糊,不能完全满足本项目进度计划要求的得</w:t>
            </w:r>
            <w:r>
              <w:rPr>
                <w:rFonts w:hint="eastAsia" w:ascii="仿宋" w:hAnsi="仿宋" w:eastAsia="仿宋" w:cs="仿宋"/>
                <w:color w:val="auto"/>
                <w:sz w:val="24"/>
                <w:lang w:val="en-US" w:eastAsia="zh-CN"/>
              </w:rPr>
              <w:t>2-4</w:t>
            </w:r>
            <w:r>
              <w:rPr>
                <w:rFonts w:hint="default" w:ascii="仿宋" w:hAnsi="仿宋" w:eastAsia="仿宋" w:cs="仿宋"/>
                <w:color w:val="auto"/>
                <w:sz w:val="24"/>
                <w:lang w:val="en-US" w:eastAsia="zh-CN"/>
              </w:rPr>
              <w:t>分；</w:t>
            </w:r>
          </w:p>
          <w:p w14:paraId="25660030">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④时间进度计划及保障措施粗糙，不符合本项目实际情况，不能满足本项目进度计划要求的得</w:t>
            </w: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分；</w:t>
            </w:r>
          </w:p>
          <w:p w14:paraId="09C3A8B0">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⑤未提供时间进度计划及保障措施的不得分。</w:t>
            </w:r>
          </w:p>
        </w:tc>
      </w:tr>
      <w:tr w14:paraId="78EA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5"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5CB42F9C">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4</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E2EB0DB">
            <w:pPr>
              <w:keepNext w:val="0"/>
              <w:keepLines w:val="0"/>
              <w:pageBreakBefore w:val="0"/>
              <w:kinsoku/>
              <w:wordWrap/>
              <w:overflowPunct/>
              <w:topLinePunct w:val="0"/>
              <w:autoSpaceDE/>
              <w:autoSpaceDN/>
              <w:bidi w:val="0"/>
              <w:adjustRightInd/>
              <w:snapToGrid w:val="0"/>
              <w:spacing w:line="300" w:lineRule="exact"/>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服务方案</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3BF824B1">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35分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1BED7740">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供应商依据本项目审计内容、</w:t>
            </w:r>
            <w:r>
              <w:rPr>
                <w:rFonts w:hint="eastAsia" w:ascii="仿宋" w:hAnsi="仿宋" w:eastAsia="仿宋" w:cs="仿宋"/>
                <w:color w:val="auto"/>
                <w:sz w:val="24"/>
                <w:lang w:val="en-US" w:eastAsia="zh-CN"/>
              </w:rPr>
              <w:t>服务要求等</w:t>
            </w:r>
            <w:r>
              <w:rPr>
                <w:rFonts w:hint="default" w:ascii="仿宋" w:hAnsi="仿宋" w:eastAsia="仿宋" w:cs="仿宋"/>
                <w:color w:val="auto"/>
                <w:sz w:val="24"/>
                <w:lang w:val="en-US" w:eastAsia="zh-CN"/>
              </w:rPr>
              <w:t>方面出具审计工作实施方案及计划：</w:t>
            </w:r>
          </w:p>
          <w:p w14:paraId="547AC8B2">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①方案中实施计划详细合理、组织管理体系科学 , 能够有效实施项目的得</w:t>
            </w:r>
            <w:r>
              <w:rPr>
                <w:rFonts w:hint="eastAsia" w:ascii="仿宋" w:hAnsi="仿宋" w:eastAsia="仿宋" w:cs="仿宋"/>
                <w:color w:val="auto"/>
                <w:sz w:val="24"/>
                <w:lang w:val="en-US" w:eastAsia="zh-CN"/>
              </w:rPr>
              <w:t>21-33</w:t>
            </w:r>
            <w:r>
              <w:rPr>
                <w:rFonts w:hint="default" w:ascii="仿宋" w:hAnsi="仿宋" w:eastAsia="仿宋" w:cs="仿宋"/>
                <w:color w:val="auto"/>
                <w:sz w:val="24"/>
                <w:lang w:val="en-US" w:eastAsia="zh-CN"/>
              </w:rPr>
              <w:t>分；</w:t>
            </w:r>
          </w:p>
          <w:p w14:paraId="00D5504D">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②实施计划合理完整、管理体系完善，能基本满足实施项目需求的得</w:t>
            </w:r>
            <w:r>
              <w:rPr>
                <w:rFonts w:hint="eastAsia" w:ascii="仿宋" w:hAnsi="仿宋" w:eastAsia="仿宋" w:cs="仿宋"/>
                <w:color w:val="auto"/>
                <w:sz w:val="24"/>
                <w:lang w:val="en-US" w:eastAsia="zh-CN"/>
              </w:rPr>
              <w:t>11-20</w:t>
            </w:r>
            <w:r>
              <w:rPr>
                <w:rFonts w:hint="default" w:ascii="仿宋" w:hAnsi="仿宋" w:eastAsia="仿宋" w:cs="仿宋"/>
                <w:color w:val="auto"/>
                <w:sz w:val="24"/>
                <w:lang w:val="en-US" w:eastAsia="zh-CN"/>
              </w:rPr>
              <w:t>分；</w:t>
            </w:r>
          </w:p>
          <w:p w14:paraId="7AEEC3F9">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③实施计划较为完整、管理体系不够完善、不利于审计工作完成的得</w:t>
            </w:r>
            <w:r>
              <w:rPr>
                <w:rFonts w:hint="eastAsia" w:ascii="仿宋" w:hAnsi="仿宋" w:eastAsia="仿宋" w:cs="仿宋"/>
                <w:color w:val="auto"/>
                <w:sz w:val="24"/>
                <w:lang w:val="en-US" w:eastAsia="zh-CN"/>
              </w:rPr>
              <w:t>6-10</w:t>
            </w:r>
            <w:r>
              <w:rPr>
                <w:rFonts w:hint="default" w:ascii="仿宋" w:hAnsi="仿宋" w:eastAsia="仿宋" w:cs="仿宋"/>
                <w:color w:val="auto"/>
                <w:sz w:val="24"/>
                <w:lang w:val="en-US" w:eastAsia="zh-CN"/>
              </w:rPr>
              <w:t>分；</w:t>
            </w:r>
          </w:p>
          <w:p w14:paraId="416D5603">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④实施计划内容不完整、管理体系不完善、不能保证审计工作保质保量完成且表述模糊的得</w:t>
            </w:r>
            <w:r>
              <w:rPr>
                <w:rFonts w:hint="eastAsia" w:ascii="仿宋" w:hAnsi="仿宋" w:eastAsia="仿宋" w:cs="仿宋"/>
                <w:color w:val="auto"/>
                <w:sz w:val="24"/>
                <w:lang w:val="en-US" w:eastAsia="zh-CN"/>
              </w:rPr>
              <w:t>1-5</w:t>
            </w:r>
            <w:r>
              <w:rPr>
                <w:rFonts w:hint="default" w:ascii="仿宋" w:hAnsi="仿宋" w:eastAsia="仿宋" w:cs="仿宋"/>
                <w:color w:val="auto"/>
                <w:sz w:val="24"/>
                <w:lang w:val="en-US" w:eastAsia="zh-CN"/>
              </w:rPr>
              <w:t>分;</w:t>
            </w:r>
          </w:p>
          <w:p w14:paraId="04A5CE45">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eastAsia" w:ascii="仿宋" w:hAnsi="仿宋" w:eastAsia="仿宋" w:cs="仿宋"/>
                <w:color w:val="auto"/>
                <w:sz w:val="24"/>
                <w:lang w:val="en-US" w:eastAsia="zh-CN"/>
              </w:rPr>
            </w:pPr>
            <w:r>
              <w:rPr>
                <w:rFonts w:hint="default" w:ascii="仿宋" w:hAnsi="仿宋" w:eastAsia="仿宋" w:cs="仿宋"/>
                <w:color w:val="auto"/>
                <w:sz w:val="24"/>
                <w:lang w:val="en-US" w:eastAsia="zh-CN"/>
              </w:rPr>
              <w:t>⑤简单照抄磋商文件需求内容、无详细描述，或未提供实施方案及计划的不得分。</w:t>
            </w:r>
          </w:p>
        </w:tc>
      </w:tr>
      <w:tr w14:paraId="4C61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0"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242F84EB">
            <w:pPr>
              <w:keepNext w:val="0"/>
              <w:keepLines w:val="0"/>
              <w:pageBreakBefore w:val="0"/>
              <w:widowControl/>
              <w:kinsoku/>
              <w:wordWrap/>
              <w:overflowPunct/>
              <w:topLinePunct/>
              <w:autoSpaceDE/>
              <w:autoSpaceDN/>
              <w:bidi w:val="0"/>
              <w:adjustRightInd/>
              <w:snapToGrid w:val="0"/>
              <w:spacing w:line="300" w:lineRule="exact"/>
              <w:jc w:val="center"/>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5</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0BBD765A">
            <w:pPr>
              <w:keepNext w:val="0"/>
              <w:keepLines w:val="0"/>
              <w:pageBreakBefore w:val="0"/>
              <w:kinsoku/>
              <w:wordWrap/>
              <w:overflowPunct/>
              <w:topLinePunct w:val="0"/>
              <w:autoSpaceDE/>
              <w:autoSpaceDN/>
              <w:bidi w:val="0"/>
              <w:adjustRightInd/>
              <w:snapToGrid w:val="0"/>
              <w:spacing w:line="300" w:lineRule="exact"/>
              <w:jc w:val="center"/>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内部管理制度</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258CA6B3">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10分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76AC2968">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供应商依据自身情况提供内部管理制度</w:t>
            </w:r>
            <w:r>
              <w:rPr>
                <w:rFonts w:hint="eastAsia" w:ascii="仿宋" w:hAnsi="仿宋" w:eastAsia="仿宋" w:cs="仿宋"/>
                <w:color w:val="auto"/>
                <w:sz w:val="24"/>
                <w:lang w:val="en-US" w:eastAsia="zh-CN"/>
              </w:rPr>
              <w:t>（5分）</w:t>
            </w:r>
            <w:r>
              <w:rPr>
                <w:rFonts w:hint="default" w:ascii="仿宋" w:hAnsi="仿宋" w:eastAsia="仿宋" w:cs="仿宋"/>
                <w:color w:val="auto"/>
                <w:sz w:val="24"/>
                <w:lang w:val="en-US" w:eastAsia="zh-CN"/>
              </w:rPr>
              <w:t>：</w:t>
            </w:r>
          </w:p>
          <w:p w14:paraId="1667CE63">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①具有健全的管理控制制度，制度完善清晰、内容详尽、科学合理、内容详细且可行性高的得</w:t>
            </w:r>
            <w:r>
              <w:rPr>
                <w:rFonts w:hint="eastAsia" w:ascii="仿宋" w:hAnsi="仿宋" w:eastAsia="仿宋" w:cs="仿宋"/>
                <w:color w:val="auto"/>
                <w:sz w:val="24"/>
                <w:lang w:val="en-US" w:eastAsia="zh-CN"/>
              </w:rPr>
              <w:t>5</w:t>
            </w:r>
            <w:r>
              <w:rPr>
                <w:rFonts w:hint="default" w:ascii="仿宋" w:hAnsi="仿宋" w:eastAsia="仿宋" w:cs="仿宋"/>
                <w:color w:val="auto"/>
                <w:sz w:val="24"/>
                <w:lang w:val="en-US" w:eastAsia="zh-CN"/>
              </w:rPr>
              <w:t>分；</w:t>
            </w:r>
          </w:p>
          <w:p w14:paraId="513E05CE">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②制度完善、内容合理、内容完整且具有可行性的得</w:t>
            </w:r>
            <w:r>
              <w:rPr>
                <w:rFonts w:hint="eastAsia" w:ascii="仿宋" w:hAnsi="仿宋" w:eastAsia="仿宋" w:cs="仿宋"/>
                <w:color w:val="auto"/>
                <w:sz w:val="24"/>
                <w:lang w:val="en-US" w:eastAsia="zh-CN"/>
              </w:rPr>
              <w:t>3</w:t>
            </w:r>
            <w:r>
              <w:rPr>
                <w:rFonts w:hint="default" w:ascii="仿宋" w:hAnsi="仿宋" w:eastAsia="仿宋" w:cs="仿宋"/>
                <w:color w:val="auto"/>
                <w:sz w:val="24"/>
                <w:lang w:val="en-US" w:eastAsia="zh-CN"/>
              </w:rPr>
              <w:t>分；</w:t>
            </w:r>
          </w:p>
          <w:p w14:paraId="0CF99B01">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③制度合理但内容简略、制度不够完善的得</w:t>
            </w: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分;</w:t>
            </w:r>
          </w:p>
          <w:p w14:paraId="34980EB0">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④</w:t>
            </w:r>
            <w:r>
              <w:rPr>
                <w:rFonts w:hint="default" w:ascii="仿宋" w:hAnsi="仿宋" w:eastAsia="仿宋" w:cs="仿宋"/>
                <w:color w:val="auto"/>
                <w:sz w:val="24"/>
                <w:lang w:val="en-US" w:eastAsia="zh-CN"/>
              </w:rPr>
              <w:t>未提供内部管理制度的不得分。</w:t>
            </w:r>
          </w:p>
          <w:p w14:paraId="7BD2F72F">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2.供应商依据自身情况提供审计三级复核制度（5分）：</w:t>
            </w:r>
          </w:p>
          <w:p w14:paraId="341D3226">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①具有健全的</w:t>
            </w:r>
            <w:r>
              <w:rPr>
                <w:rFonts w:hint="eastAsia" w:ascii="仿宋" w:hAnsi="仿宋" w:eastAsia="仿宋" w:cs="仿宋"/>
                <w:color w:val="auto"/>
                <w:sz w:val="24"/>
                <w:lang w:val="en-US" w:eastAsia="zh-CN"/>
              </w:rPr>
              <w:t>审计三级复核</w:t>
            </w:r>
            <w:r>
              <w:rPr>
                <w:rFonts w:hint="default" w:ascii="仿宋" w:hAnsi="仿宋" w:eastAsia="仿宋" w:cs="仿宋"/>
                <w:color w:val="auto"/>
                <w:sz w:val="24"/>
                <w:lang w:val="en-US" w:eastAsia="zh-CN"/>
              </w:rPr>
              <w:t>制度，制度完善清晰、内容详尽、科学合理、内容详细且可行性高的得</w:t>
            </w:r>
            <w:r>
              <w:rPr>
                <w:rFonts w:hint="eastAsia" w:ascii="仿宋" w:hAnsi="仿宋" w:eastAsia="仿宋" w:cs="仿宋"/>
                <w:color w:val="auto"/>
                <w:sz w:val="24"/>
                <w:lang w:val="en-US" w:eastAsia="zh-CN"/>
              </w:rPr>
              <w:t>5</w:t>
            </w:r>
            <w:r>
              <w:rPr>
                <w:rFonts w:hint="default" w:ascii="仿宋" w:hAnsi="仿宋" w:eastAsia="仿宋" w:cs="仿宋"/>
                <w:color w:val="auto"/>
                <w:sz w:val="24"/>
                <w:lang w:val="en-US" w:eastAsia="zh-CN"/>
              </w:rPr>
              <w:t>分；</w:t>
            </w:r>
          </w:p>
          <w:p w14:paraId="1C365A35">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②制度完善、内容合理、内容完整且具有可行性的得</w:t>
            </w:r>
            <w:r>
              <w:rPr>
                <w:rFonts w:hint="eastAsia" w:ascii="仿宋" w:hAnsi="仿宋" w:eastAsia="仿宋" w:cs="仿宋"/>
                <w:color w:val="auto"/>
                <w:sz w:val="24"/>
                <w:lang w:val="en-US" w:eastAsia="zh-CN"/>
              </w:rPr>
              <w:t>3</w:t>
            </w:r>
            <w:r>
              <w:rPr>
                <w:rFonts w:hint="default" w:ascii="仿宋" w:hAnsi="仿宋" w:eastAsia="仿宋" w:cs="仿宋"/>
                <w:color w:val="auto"/>
                <w:sz w:val="24"/>
                <w:lang w:val="en-US" w:eastAsia="zh-CN"/>
              </w:rPr>
              <w:t>分；</w:t>
            </w:r>
          </w:p>
          <w:p w14:paraId="00BC0748">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③制度合理但内容简略、制度不够完善的得</w:t>
            </w: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分;</w:t>
            </w:r>
          </w:p>
          <w:p w14:paraId="470EB7F8">
            <w:pPr>
              <w:keepNext w:val="0"/>
              <w:keepLines w:val="0"/>
              <w:pageBreakBefore w:val="0"/>
              <w:kinsoku/>
              <w:wordWrap/>
              <w:overflowPunct/>
              <w:topLinePunct w:val="0"/>
              <w:autoSpaceDE/>
              <w:autoSpaceDN/>
              <w:bidi w:val="0"/>
              <w:adjustRightInd/>
              <w:snapToGrid w:val="0"/>
              <w:spacing w:line="300" w:lineRule="exact"/>
              <w:ind w:firstLine="480" w:firstLineChars="200"/>
              <w:textAlignment w:val="auto"/>
              <w:rPr>
                <w:rFonts w:hint="eastAsia" w:ascii="仿宋" w:hAnsi="仿宋" w:eastAsia="仿宋" w:cs="仿宋"/>
                <w:color w:val="auto"/>
                <w:sz w:val="24"/>
                <w:lang w:val="en-US" w:eastAsia="zh-CN"/>
              </w:rPr>
            </w:pPr>
            <w:r>
              <w:rPr>
                <w:rFonts w:hint="default" w:ascii="仿宋" w:hAnsi="仿宋" w:eastAsia="仿宋" w:cs="仿宋"/>
                <w:color w:val="auto"/>
                <w:sz w:val="24"/>
                <w:lang w:val="en-US" w:eastAsia="zh-CN"/>
              </w:rPr>
              <w:t>④未提供内部管理制度的不得分。</w:t>
            </w:r>
          </w:p>
        </w:tc>
      </w:tr>
      <w:tr w14:paraId="46E7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5154F0FA">
            <w:pPr>
              <w:keepNext w:val="0"/>
              <w:keepLines w:val="0"/>
              <w:pageBreakBefore w:val="0"/>
              <w:widowControl/>
              <w:kinsoku/>
              <w:wordWrap/>
              <w:overflowPunct/>
              <w:topLinePunct/>
              <w:autoSpaceDE/>
              <w:autoSpaceDN/>
              <w:bidi w:val="0"/>
              <w:adjustRightInd/>
              <w:snapToGrid w:val="0"/>
              <w:spacing w:line="300" w:lineRule="exact"/>
              <w:jc w:val="center"/>
              <w:textAlignment w:val="auto"/>
              <w:rPr>
                <w:rFonts w:hint="default" w:ascii="仿宋" w:hAnsi="仿宋" w:eastAsia="仿宋" w:cs="仿宋"/>
                <w:color w:val="auto"/>
                <w:kern w:val="2"/>
                <w:sz w:val="24"/>
                <w:szCs w:val="22"/>
                <w:lang w:val="en-US" w:eastAsia="zh-CN" w:bidi="ar-SA"/>
              </w:rPr>
            </w:pPr>
            <w:r>
              <w:rPr>
                <w:rFonts w:hint="eastAsia" w:ascii="仿宋" w:hAnsi="仿宋" w:eastAsia="仿宋" w:cs="仿宋"/>
                <w:color w:val="auto"/>
                <w:sz w:val="24"/>
                <w:lang w:val="en-US" w:eastAsia="zh-CN"/>
              </w:rPr>
              <w:t>6</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30E910A1">
            <w:pPr>
              <w:keepNext w:val="0"/>
              <w:keepLines w:val="0"/>
              <w:pageBreakBefore w:val="0"/>
              <w:kinsoku/>
              <w:wordWrap/>
              <w:overflowPunct/>
              <w:topLinePunct w:val="0"/>
              <w:autoSpaceDE/>
              <w:autoSpaceDN/>
              <w:bidi w:val="0"/>
              <w:adjustRightInd/>
              <w:snapToGrid w:val="0"/>
              <w:spacing w:line="300" w:lineRule="exact"/>
              <w:jc w:val="left"/>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服务团队</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2354C536">
            <w:pPr>
              <w:keepNext w:val="0"/>
              <w:keepLines w:val="0"/>
              <w:pageBreakBefore w:val="0"/>
              <w:kinsoku/>
              <w:wordWrap/>
              <w:overflowPunct/>
              <w:topLinePunct w:val="0"/>
              <w:autoSpaceDE/>
              <w:autoSpaceDN/>
              <w:bidi w:val="0"/>
              <w:adjustRightInd/>
              <w:snapToGrid w:val="0"/>
              <w:spacing w:line="300" w:lineRule="exact"/>
              <w:jc w:val="center"/>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15分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45E1AD89">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供应商针对该项目配备至少1名项目负责人和</w:t>
            </w:r>
            <w:r>
              <w:rPr>
                <w:rFonts w:hint="eastAsia" w:ascii="仿宋" w:hAnsi="仿宋" w:eastAsia="仿宋" w:cs="仿宋"/>
                <w:color w:val="auto"/>
                <w:sz w:val="24"/>
                <w:lang w:val="en-US" w:eastAsia="zh-CN"/>
              </w:rPr>
              <w:t>9</w:t>
            </w:r>
            <w:r>
              <w:rPr>
                <w:rFonts w:hint="default" w:ascii="仿宋" w:hAnsi="仿宋" w:eastAsia="仿宋" w:cs="仿宋"/>
                <w:color w:val="auto"/>
                <w:sz w:val="24"/>
                <w:lang w:val="en-US" w:eastAsia="zh-CN"/>
              </w:rPr>
              <w:t>名专业技术人员</w:t>
            </w:r>
          </w:p>
          <w:p w14:paraId="0D841A06">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（1）项目负责人（4分）：</w:t>
            </w:r>
            <w:r>
              <w:rPr>
                <w:rFonts w:hint="default" w:ascii="仿宋" w:hAnsi="仿宋" w:eastAsia="仿宋" w:cs="仿宋"/>
                <w:color w:val="auto"/>
                <w:sz w:val="24"/>
                <w:lang w:val="en-US" w:eastAsia="zh-CN"/>
              </w:rPr>
              <w:t>具有注册会计师执业资格</w:t>
            </w:r>
            <w:r>
              <w:rPr>
                <w:rFonts w:hint="eastAsia" w:ascii="仿宋" w:hAnsi="仿宋" w:eastAsia="仿宋" w:cs="仿宋"/>
                <w:color w:val="auto"/>
                <w:sz w:val="24"/>
                <w:lang w:val="en-US" w:eastAsia="zh-CN"/>
              </w:rPr>
              <w:t>证书</w:t>
            </w:r>
            <w:r>
              <w:rPr>
                <w:rFonts w:hint="default" w:ascii="仿宋" w:hAnsi="仿宋" w:eastAsia="仿宋" w:cs="仿宋"/>
                <w:color w:val="auto"/>
                <w:sz w:val="24"/>
                <w:lang w:val="en-US" w:eastAsia="zh-CN"/>
              </w:rPr>
              <w:t>且具有5年及以上从事相关审计经验</w:t>
            </w:r>
            <w:r>
              <w:rPr>
                <w:rFonts w:hint="eastAsia" w:ascii="仿宋" w:hAnsi="仿宋" w:eastAsia="仿宋" w:cs="仿宋"/>
                <w:color w:val="auto"/>
                <w:sz w:val="24"/>
                <w:lang w:val="en-US" w:eastAsia="zh-CN"/>
              </w:rPr>
              <w:t>的得4分；不满足上述条件此项不得分。</w:t>
            </w:r>
          </w:p>
          <w:p w14:paraId="0967E202">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（2）团队人员（11分）：除项目负责人外，团队其他人员</w:t>
            </w:r>
            <w:r>
              <w:rPr>
                <w:rFonts w:hint="default" w:ascii="仿宋" w:hAnsi="仿宋" w:eastAsia="仿宋" w:cs="仿宋"/>
                <w:color w:val="auto"/>
                <w:sz w:val="24"/>
                <w:lang w:val="en-US" w:eastAsia="zh-CN"/>
              </w:rPr>
              <w:t>至少9名</w:t>
            </w:r>
            <w:r>
              <w:rPr>
                <w:rFonts w:hint="eastAsia" w:ascii="仿宋" w:hAnsi="仿宋" w:eastAsia="仿宋" w:cs="仿宋"/>
                <w:color w:val="auto"/>
                <w:sz w:val="24"/>
                <w:lang w:val="en-US" w:eastAsia="zh-CN"/>
              </w:rPr>
              <w:t>，</w:t>
            </w:r>
            <w:r>
              <w:rPr>
                <w:rFonts w:hint="default" w:ascii="仿宋" w:hAnsi="仿宋" w:eastAsia="仿宋" w:cs="仿宋"/>
                <w:color w:val="auto"/>
                <w:sz w:val="24"/>
                <w:lang w:val="en-US" w:eastAsia="zh-CN"/>
              </w:rPr>
              <w:t>分为3组</w:t>
            </w:r>
            <w:r>
              <w:rPr>
                <w:rFonts w:hint="eastAsia" w:ascii="仿宋" w:hAnsi="仿宋" w:eastAsia="仿宋" w:cs="仿宋"/>
                <w:color w:val="auto"/>
                <w:sz w:val="24"/>
                <w:lang w:val="en-US" w:eastAsia="zh-CN"/>
              </w:rPr>
              <w:t>。</w:t>
            </w:r>
          </w:p>
          <w:p w14:paraId="2CBC7444">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团队人员</w:t>
            </w:r>
            <w:r>
              <w:rPr>
                <w:rFonts w:hint="default" w:ascii="仿宋" w:hAnsi="仿宋" w:eastAsia="仿宋" w:cs="仿宋"/>
                <w:color w:val="auto"/>
                <w:sz w:val="24"/>
                <w:lang w:val="en-US" w:eastAsia="zh-CN"/>
              </w:rPr>
              <w:t>至少有</w:t>
            </w:r>
            <w:r>
              <w:rPr>
                <w:rFonts w:hint="eastAsia" w:ascii="仿宋" w:hAnsi="仿宋" w:eastAsia="仿宋" w:cs="仿宋"/>
                <w:color w:val="auto"/>
                <w:sz w:val="24"/>
                <w:lang w:val="en-US" w:eastAsia="zh-CN"/>
              </w:rPr>
              <w:t>3</w:t>
            </w:r>
            <w:r>
              <w:rPr>
                <w:rFonts w:hint="default" w:ascii="仿宋" w:hAnsi="仿宋" w:eastAsia="仿宋" w:cs="仿宋"/>
                <w:color w:val="auto"/>
                <w:sz w:val="24"/>
                <w:lang w:val="en-US" w:eastAsia="zh-CN"/>
              </w:rPr>
              <w:t>名</w:t>
            </w:r>
            <w:r>
              <w:rPr>
                <w:rFonts w:hint="eastAsia" w:ascii="仿宋" w:hAnsi="仿宋" w:eastAsia="仿宋" w:cs="仿宋"/>
                <w:color w:val="auto"/>
                <w:sz w:val="24"/>
                <w:lang w:val="en-US" w:eastAsia="zh-CN"/>
              </w:rPr>
              <w:t>具有中级（含中级）会计师或审计师且有5年及以上从事相关审计经验的得5分，在此基础上每增加1名注册会计师得1分或每增加1名具有</w:t>
            </w:r>
            <w:r>
              <w:rPr>
                <w:rFonts w:hint="default" w:ascii="仿宋" w:hAnsi="仿宋" w:eastAsia="仿宋" w:cs="仿宋"/>
                <w:color w:val="auto"/>
                <w:sz w:val="24"/>
                <w:lang w:val="en-US" w:eastAsia="zh-CN"/>
              </w:rPr>
              <w:t>中级以上（含中级）会计师或审计师职称的人员</w:t>
            </w:r>
            <w:r>
              <w:rPr>
                <w:rFonts w:hint="eastAsia" w:ascii="仿宋" w:hAnsi="仿宋" w:eastAsia="仿宋" w:cs="仿宋"/>
                <w:color w:val="auto"/>
                <w:sz w:val="24"/>
                <w:lang w:val="en-US" w:eastAsia="zh-CN"/>
              </w:rPr>
              <w:t>得0.5分，满分6分。</w:t>
            </w:r>
          </w:p>
          <w:p w14:paraId="4B032816">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备注:人员同时具有注册会计师证书及会计专业资格证书的不可重复加分。为保证项目按时、按质完成，</w:t>
            </w:r>
            <w:r>
              <w:rPr>
                <w:rFonts w:hint="eastAsia" w:ascii="仿宋" w:hAnsi="仿宋" w:eastAsia="仿宋" w:cs="仿宋"/>
                <w:color w:val="auto"/>
                <w:sz w:val="24"/>
                <w:lang w:val="en-US" w:eastAsia="zh-CN"/>
              </w:rPr>
              <w:t>成交</w:t>
            </w:r>
            <w:r>
              <w:rPr>
                <w:rFonts w:hint="default" w:ascii="仿宋" w:hAnsi="仿宋" w:eastAsia="仿宋" w:cs="仿宋"/>
                <w:color w:val="auto"/>
                <w:sz w:val="24"/>
                <w:lang w:val="en-US" w:eastAsia="zh-CN"/>
              </w:rPr>
              <w:t>后业务对接及成果汇报人员必须</w:t>
            </w:r>
            <w:r>
              <w:rPr>
                <w:rFonts w:hint="eastAsia" w:ascii="仿宋" w:hAnsi="仿宋" w:eastAsia="仿宋" w:cs="仿宋"/>
                <w:color w:val="auto"/>
                <w:sz w:val="24"/>
                <w:lang w:val="en-US" w:eastAsia="zh-CN"/>
              </w:rPr>
              <w:t>为</w:t>
            </w:r>
            <w:r>
              <w:rPr>
                <w:rFonts w:hint="default" w:ascii="仿宋" w:hAnsi="仿宋" w:eastAsia="仿宋" w:cs="仿宋"/>
                <w:color w:val="auto"/>
                <w:sz w:val="24"/>
                <w:lang w:val="en-US" w:eastAsia="zh-CN"/>
              </w:rPr>
              <w:t>拟投入项目人员，不得替代</w:t>
            </w:r>
            <w:r>
              <w:rPr>
                <w:rFonts w:hint="eastAsia" w:ascii="仿宋" w:hAnsi="仿宋" w:eastAsia="仿宋" w:cs="仿宋"/>
                <w:color w:val="auto"/>
                <w:sz w:val="24"/>
                <w:lang w:val="en-US" w:eastAsia="zh-CN"/>
              </w:rPr>
              <w:t>或</w:t>
            </w:r>
            <w:r>
              <w:rPr>
                <w:rFonts w:hint="default" w:ascii="仿宋" w:hAnsi="仿宋" w:eastAsia="仿宋" w:cs="仿宋"/>
                <w:color w:val="auto"/>
                <w:sz w:val="24"/>
                <w:lang w:val="en-US" w:eastAsia="zh-CN"/>
              </w:rPr>
              <w:t>随意更换调整。以上人员须提供（原件扫描件）注册会计师证书、会计专业资格</w:t>
            </w:r>
            <w:r>
              <w:rPr>
                <w:rFonts w:hint="eastAsia" w:ascii="仿宋" w:hAnsi="仿宋" w:eastAsia="仿宋" w:cs="仿宋"/>
                <w:color w:val="auto"/>
                <w:sz w:val="24"/>
                <w:lang w:val="en-US" w:eastAsia="zh-CN"/>
              </w:rPr>
              <w:t>证</w:t>
            </w:r>
            <w:r>
              <w:rPr>
                <w:rFonts w:hint="default" w:ascii="仿宋" w:hAnsi="仿宋" w:eastAsia="仿宋" w:cs="仿宋"/>
                <w:color w:val="auto"/>
                <w:sz w:val="24"/>
                <w:lang w:val="en-US" w:eastAsia="zh-CN"/>
              </w:rPr>
              <w:t>书、</w:t>
            </w:r>
            <w:r>
              <w:rPr>
                <w:rFonts w:hint="eastAsia" w:ascii="仿宋" w:hAnsi="仿宋" w:eastAsia="仿宋" w:cs="仿宋"/>
                <w:color w:val="auto"/>
                <w:sz w:val="24"/>
                <w:lang w:val="en-US" w:eastAsia="zh-CN"/>
              </w:rPr>
              <w:t>审计经验证明资料、</w:t>
            </w:r>
            <w:r>
              <w:rPr>
                <w:rFonts w:hint="default" w:ascii="仿宋" w:hAnsi="仿宋" w:eastAsia="仿宋" w:cs="仿宋"/>
                <w:color w:val="auto"/>
                <w:sz w:val="24"/>
                <w:lang w:val="en-US" w:eastAsia="zh-CN"/>
              </w:rPr>
              <w:t>开标前一个月社保明细，装订在</w:t>
            </w:r>
            <w:r>
              <w:rPr>
                <w:rFonts w:hint="eastAsia" w:ascii="仿宋" w:hAnsi="仿宋" w:eastAsia="仿宋" w:cs="仿宋"/>
                <w:color w:val="auto"/>
                <w:sz w:val="24"/>
                <w:lang w:val="en-US" w:eastAsia="zh-CN"/>
              </w:rPr>
              <w:t>响应</w:t>
            </w:r>
            <w:r>
              <w:rPr>
                <w:rFonts w:hint="default" w:ascii="仿宋" w:hAnsi="仿宋" w:eastAsia="仿宋" w:cs="仿宋"/>
                <w:color w:val="auto"/>
                <w:sz w:val="24"/>
                <w:lang w:val="en-US" w:eastAsia="zh-CN"/>
              </w:rPr>
              <w:t>文件中(加盖</w:t>
            </w:r>
            <w:r>
              <w:rPr>
                <w:rFonts w:hint="eastAsia" w:ascii="仿宋" w:hAnsi="仿宋" w:eastAsia="仿宋" w:cs="仿宋"/>
                <w:color w:val="auto"/>
                <w:sz w:val="24"/>
                <w:lang w:val="en-US" w:eastAsia="zh-CN"/>
              </w:rPr>
              <w:t>供应商</w:t>
            </w:r>
            <w:r>
              <w:rPr>
                <w:rFonts w:hint="default" w:ascii="仿宋" w:hAnsi="仿宋" w:eastAsia="仿宋" w:cs="仿宋"/>
                <w:color w:val="auto"/>
                <w:sz w:val="24"/>
                <w:lang w:val="en-US" w:eastAsia="zh-CN"/>
              </w:rPr>
              <w:t>公章)</w:t>
            </w:r>
            <w:r>
              <w:rPr>
                <w:rFonts w:hint="eastAsia" w:ascii="仿宋" w:hAnsi="仿宋" w:eastAsia="仿宋" w:cs="仿宋"/>
                <w:color w:val="auto"/>
                <w:sz w:val="24"/>
                <w:lang w:val="en-US" w:eastAsia="zh-CN"/>
              </w:rPr>
              <w:t>，</w:t>
            </w:r>
            <w:r>
              <w:rPr>
                <w:rFonts w:hint="default" w:ascii="仿宋" w:hAnsi="仿宋" w:eastAsia="仿宋" w:cs="仿宋"/>
                <w:color w:val="auto"/>
                <w:sz w:val="24"/>
                <w:lang w:val="en-US" w:eastAsia="zh-CN"/>
              </w:rPr>
              <w:t>所有人员须为本单位在职人员。</w:t>
            </w:r>
          </w:p>
        </w:tc>
      </w:tr>
      <w:tr w14:paraId="2DE7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trPr>
        <w:tc>
          <w:tcPr>
            <w:tcW w:w="843" w:type="dxa"/>
            <w:tcBorders>
              <w:top w:val="single" w:color="auto" w:sz="4" w:space="0"/>
              <w:left w:val="single" w:color="auto" w:sz="4" w:space="0"/>
              <w:bottom w:val="single" w:color="auto" w:sz="4" w:space="0"/>
              <w:right w:val="single" w:color="auto" w:sz="4" w:space="0"/>
            </w:tcBorders>
            <w:noWrap w:val="0"/>
            <w:vAlign w:val="center"/>
          </w:tcPr>
          <w:p w14:paraId="2387994C">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7</w:t>
            </w:r>
          </w:p>
        </w:tc>
        <w:tc>
          <w:tcPr>
            <w:tcW w:w="1217" w:type="dxa"/>
            <w:tcBorders>
              <w:top w:val="single" w:color="auto" w:sz="4" w:space="0"/>
              <w:left w:val="single" w:color="auto" w:sz="4" w:space="0"/>
              <w:bottom w:val="single" w:color="auto" w:sz="4" w:space="0"/>
              <w:right w:val="single" w:color="auto" w:sz="4" w:space="0"/>
            </w:tcBorders>
            <w:noWrap w:val="0"/>
            <w:vAlign w:val="center"/>
          </w:tcPr>
          <w:p w14:paraId="54DC4EFC">
            <w:pPr>
              <w:keepNext w:val="0"/>
              <w:keepLines w:val="0"/>
              <w:pageBreakBefore w:val="0"/>
              <w:kinsoku/>
              <w:wordWrap/>
              <w:overflowPunct/>
              <w:topLinePunct w:val="0"/>
              <w:autoSpaceDE/>
              <w:autoSpaceDN/>
              <w:bidi w:val="0"/>
              <w:adjustRightInd/>
              <w:snapToGrid w:val="0"/>
              <w:spacing w:line="300" w:lineRule="exact"/>
              <w:jc w:val="left"/>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服务保密措施和服务承诺</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22A1A133">
            <w:pPr>
              <w:keepNext w:val="0"/>
              <w:keepLines w:val="0"/>
              <w:pageBreakBefore w:val="0"/>
              <w:kinsoku/>
              <w:wordWrap/>
              <w:overflowPunct/>
              <w:topLinePunct w:val="0"/>
              <w:autoSpaceDE/>
              <w:autoSpaceDN/>
              <w:bidi w:val="0"/>
              <w:adjustRightInd/>
              <w:snapToGrid w:val="0"/>
              <w:spacing w:line="300" w:lineRule="exact"/>
              <w:jc w:val="center"/>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10分</w:t>
            </w:r>
          </w:p>
        </w:tc>
        <w:tc>
          <w:tcPr>
            <w:tcW w:w="6698" w:type="dxa"/>
            <w:tcBorders>
              <w:top w:val="single" w:color="auto" w:sz="4" w:space="0"/>
              <w:left w:val="single" w:color="auto" w:sz="4" w:space="0"/>
              <w:bottom w:val="single" w:color="auto" w:sz="4" w:space="0"/>
              <w:right w:val="single" w:color="auto" w:sz="4" w:space="0"/>
            </w:tcBorders>
            <w:noWrap w:val="0"/>
            <w:vAlign w:val="center"/>
          </w:tcPr>
          <w:p w14:paraId="0376B26F">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供货商依据自身保密制度及本项目性质及</w:t>
            </w:r>
            <w:r>
              <w:rPr>
                <w:rFonts w:hint="eastAsia" w:ascii="仿宋" w:hAnsi="仿宋" w:eastAsia="仿宋" w:cs="仿宋"/>
                <w:color w:val="auto"/>
                <w:sz w:val="24"/>
                <w:lang w:val="en-US" w:eastAsia="zh-CN"/>
              </w:rPr>
              <w:t>实际</w:t>
            </w:r>
            <w:r>
              <w:rPr>
                <w:rFonts w:hint="default" w:ascii="仿宋" w:hAnsi="仿宋" w:eastAsia="仿宋" w:cs="仿宋"/>
                <w:color w:val="auto"/>
                <w:sz w:val="24"/>
                <w:lang w:val="en-US" w:eastAsia="zh-CN"/>
              </w:rPr>
              <w:t>情况，自行拟定服务保密措施</w:t>
            </w:r>
            <w:r>
              <w:rPr>
                <w:rFonts w:hint="eastAsia" w:ascii="仿宋" w:hAnsi="仿宋" w:eastAsia="仿宋" w:cs="仿宋"/>
                <w:color w:val="auto"/>
                <w:sz w:val="24"/>
                <w:lang w:val="en-US" w:eastAsia="zh-CN"/>
              </w:rPr>
              <w:t>（5分）</w:t>
            </w:r>
            <w:r>
              <w:rPr>
                <w:rFonts w:hint="default" w:ascii="仿宋" w:hAnsi="仿宋" w:eastAsia="仿宋" w:cs="仿宋"/>
                <w:color w:val="auto"/>
                <w:sz w:val="24"/>
                <w:lang w:val="en-US" w:eastAsia="zh-CN"/>
              </w:rPr>
              <w:t>:</w:t>
            </w:r>
          </w:p>
          <w:p w14:paraId="656C0248">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①方案中保密管理体系内容逻辑缜密、符合国家要求和项目需要、保密工作专人负责、措施具体明确的得</w:t>
            </w:r>
            <w:r>
              <w:rPr>
                <w:rFonts w:hint="eastAsia" w:ascii="仿宋" w:hAnsi="仿宋" w:eastAsia="仿宋" w:cs="仿宋"/>
                <w:color w:val="auto"/>
                <w:sz w:val="24"/>
                <w:lang w:val="en-US" w:eastAsia="zh-CN"/>
              </w:rPr>
              <w:t>5</w:t>
            </w:r>
            <w:r>
              <w:rPr>
                <w:rFonts w:hint="default" w:ascii="仿宋" w:hAnsi="仿宋" w:eastAsia="仿宋" w:cs="仿宋"/>
                <w:color w:val="auto"/>
                <w:sz w:val="24"/>
                <w:lang w:val="en-US" w:eastAsia="zh-CN"/>
              </w:rPr>
              <w:t>分；</w:t>
            </w:r>
          </w:p>
          <w:p w14:paraId="279EF30B">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②保密管理体系内容思路清楚、保密工作专人负责、措施要点表述明确的得</w:t>
            </w:r>
            <w:r>
              <w:rPr>
                <w:rFonts w:hint="eastAsia" w:ascii="仿宋" w:hAnsi="仿宋" w:eastAsia="仿宋" w:cs="仿宋"/>
                <w:color w:val="auto"/>
                <w:sz w:val="24"/>
                <w:lang w:val="en-US" w:eastAsia="zh-CN"/>
              </w:rPr>
              <w:t>3</w:t>
            </w:r>
            <w:r>
              <w:rPr>
                <w:rFonts w:hint="default" w:ascii="仿宋" w:hAnsi="仿宋" w:eastAsia="仿宋" w:cs="仿宋"/>
                <w:color w:val="auto"/>
                <w:sz w:val="24"/>
                <w:lang w:val="en-US" w:eastAsia="zh-CN"/>
              </w:rPr>
              <w:t>分；</w:t>
            </w:r>
          </w:p>
          <w:p w14:paraId="4D564427">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③保密管理体系内容逻辑混乱、保密工作无专人负责、措施片面的得</w:t>
            </w: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分；</w:t>
            </w:r>
          </w:p>
          <w:p w14:paraId="44E0E92C">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④未提供服务保密措施的不得分。</w:t>
            </w:r>
          </w:p>
          <w:p w14:paraId="2EF90F01">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eastAsia" w:ascii="仿宋" w:hAnsi="仿宋" w:eastAsia="仿宋" w:cs="仿宋"/>
                <w:color w:val="auto"/>
                <w:sz w:val="24"/>
                <w:lang w:val="en-US" w:eastAsia="zh-CN"/>
              </w:rPr>
              <w:t>2.</w:t>
            </w:r>
            <w:r>
              <w:rPr>
                <w:rFonts w:hint="default" w:ascii="仿宋" w:hAnsi="仿宋" w:eastAsia="仿宋" w:cs="仿宋"/>
                <w:color w:val="auto"/>
                <w:sz w:val="24"/>
                <w:lang w:val="en-US" w:eastAsia="zh-CN"/>
              </w:rPr>
              <w:t>供应商需结合项目的实际特点制定符合本项目的服务承诺</w:t>
            </w:r>
            <w:r>
              <w:rPr>
                <w:rFonts w:hint="eastAsia" w:ascii="仿宋" w:hAnsi="仿宋" w:eastAsia="仿宋" w:cs="仿宋"/>
                <w:color w:val="auto"/>
                <w:sz w:val="24"/>
                <w:lang w:val="en-US" w:eastAsia="zh-CN"/>
              </w:rPr>
              <w:t>（5分）</w:t>
            </w:r>
            <w:r>
              <w:rPr>
                <w:rFonts w:hint="default" w:ascii="仿宋" w:hAnsi="仿宋" w:eastAsia="仿宋" w:cs="仿宋"/>
                <w:color w:val="auto"/>
                <w:sz w:val="24"/>
                <w:lang w:val="en-US" w:eastAsia="zh-CN"/>
              </w:rPr>
              <w:t>：</w:t>
            </w:r>
          </w:p>
          <w:p w14:paraId="5FE45C4D">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①服务承诺详细具体，服务体系完善，服务内容详尽，问题解决方案全面具体，服务响应及时，明确现场服务条件及到位时间的得</w:t>
            </w:r>
            <w:r>
              <w:rPr>
                <w:rFonts w:hint="eastAsia" w:ascii="仿宋" w:hAnsi="仿宋" w:eastAsia="仿宋" w:cs="仿宋"/>
                <w:color w:val="auto"/>
                <w:sz w:val="24"/>
                <w:lang w:val="en-US" w:eastAsia="zh-CN"/>
              </w:rPr>
              <w:t>5</w:t>
            </w:r>
            <w:r>
              <w:rPr>
                <w:rFonts w:hint="default" w:ascii="仿宋" w:hAnsi="仿宋" w:eastAsia="仿宋" w:cs="仿宋"/>
                <w:color w:val="auto"/>
                <w:sz w:val="24"/>
                <w:lang w:val="en-US" w:eastAsia="zh-CN"/>
              </w:rPr>
              <w:t>分；</w:t>
            </w:r>
          </w:p>
          <w:p w14:paraId="0DE88C9A">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②服务承诺简单，服务体系不完善，服务响应时间较长的得</w:t>
            </w:r>
            <w:r>
              <w:rPr>
                <w:rFonts w:hint="eastAsia" w:ascii="仿宋" w:hAnsi="仿宋" w:eastAsia="仿宋" w:cs="仿宋"/>
                <w:color w:val="auto"/>
                <w:sz w:val="24"/>
                <w:lang w:val="en-US" w:eastAsia="zh-CN"/>
              </w:rPr>
              <w:t>3</w:t>
            </w:r>
            <w:r>
              <w:rPr>
                <w:rFonts w:hint="default" w:ascii="仿宋" w:hAnsi="仿宋" w:eastAsia="仿宋" w:cs="仿宋"/>
                <w:color w:val="auto"/>
                <w:sz w:val="24"/>
                <w:lang w:val="en-US" w:eastAsia="zh-CN"/>
              </w:rPr>
              <w:t>分；</w:t>
            </w:r>
          </w:p>
          <w:p w14:paraId="3574083D">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default" w:ascii="仿宋" w:hAnsi="仿宋" w:eastAsia="仿宋" w:cs="仿宋"/>
                <w:color w:val="auto"/>
                <w:sz w:val="24"/>
                <w:lang w:val="en-US" w:eastAsia="zh-CN"/>
              </w:rPr>
            </w:pPr>
            <w:r>
              <w:rPr>
                <w:rFonts w:hint="default" w:ascii="仿宋" w:hAnsi="仿宋" w:eastAsia="仿宋" w:cs="仿宋"/>
                <w:color w:val="auto"/>
                <w:sz w:val="24"/>
                <w:lang w:val="en-US" w:eastAsia="zh-CN"/>
              </w:rPr>
              <w:t>③服务承诺简略，服务体系欠缺，服务内容片面 , 问题解决方案不切实际且服务响应时间长的得</w:t>
            </w:r>
            <w:r>
              <w:rPr>
                <w:rFonts w:hint="eastAsia" w:ascii="仿宋" w:hAnsi="仿宋" w:eastAsia="仿宋" w:cs="仿宋"/>
                <w:color w:val="auto"/>
                <w:sz w:val="24"/>
                <w:lang w:val="en-US" w:eastAsia="zh-CN"/>
              </w:rPr>
              <w:t>1</w:t>
            </w:r>
            <w:r>
              <w:rPr>
                <w:rFonts w:hint="default" w:ascii="仿宋" w:hAnsi="仿宋" w:eastAsia="仿宋" w:cs="仿宋"/>
                <w:color w:val="auto"/>
                <w:sz w:val="24"/>
                <w:lang w:val="en-US" w:eastAsia="zh-CN"/>
              </w:rPr>
              <w:t>分；</w:t>
            </w:r>
          </w:p>
          <w:p w14:paraId="1F9F69F3">
            <w:pPr>
              <w:keepNext w:val="0"/>
              <w:keepLines w:val="0"/>
              <w:pageBreakBefore w:val="0"/>
              <w:kinsoku/>
              <w:wordWrap/>
              <w:overflowPunct/>
              <w:topLinePunct w:val="0"/>
              <w:autoSpaceDE/>
              <w:autoSpaceDN/>
              <w:bidi w:val="0"/>
              <w:adjustRightInd/>
              <w:snapToGrid w:val="0"/>
              <w:spacing w:line="300" w:lineRule="exact"/>
              <w:ind w:firstLine="480" w:firstLineChars="200"/>
              <w:jc w:val="left"/>
              <w:textAlignment w:val="auto"/>
              <w:rPr>
                <w:rFonts w:hint="eastAsia"/>
                <w:lang w:val="en-US" w:eastAsia="zh-CN"/>
              </w:rPr>
            </w:pPr>
            <w:r>
              <w:rPr>
                <w:rFonts w:hint="default" w:ascii="仿宋" w:hAnsi="仿宋" w:eastAsia="仿宋" w:cs="仿宋"/>
                <w:color w:val="auto"/>
                <w:sz w:val="24"/>
                <w:lang w:val="en-US" w:eastAsia="zh-CN"/>
              </w:rPr>
              <w:t>④未提供服务承诺的不得分。</w:t>
            </w:r>
          </w:p>
        </w:tc>
      </w:tr>
    </w:tbl>
    <w:p w14:paraId="080E1C39">
      <w:pPr>
        <w:keepNext w:val="0"/>
        <w:keepLines w:val="0"/>
        <w:pageBreakBefore w:val="0"/>
        <w:kinsoku/>
        <w:wordWrap/>
        <w:overflowPunct/>
        <w:topLinePunct/>
        <w:autoSpaceDE/>
        <w:autoSpaceDN/>
        <w:bidi w:val="0"/>
        <w:adjustRightInd/>
        <w:snapToGrid w:val="0"/>
        <w:spacing w:line="400" w:lineRule="exact"/>
        <w:textAlignment w:val="auto"/>
        <w:rPr>
          <w:rFonts w:hint="eastAsia" w:ascii="仿宋" w:hAnsi="仿宋" w:eastAsia="仿宋" w:cs="仿宋"/>
          <w:color w:val="auto"/>
          <w:sz w:val="24"/>
        </w:rPr>
      </w:pPr>
    </w:p>
    <w:p w14:paraId="46C1BCAA"/>
    <w:sectPr>
      <w:footerReference r:id="rId3" w:type="default"/>
      <w:pgSz w:w="11906" w:h="16838"/>
      <w:pgMar w:top="2098" w:right="1474" w:bottom="1984"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embedRegular r:id="rId1" w:fontKey="{8956987D-1886-4839-A4A7-BEB41E7AF2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9091238-CCDC-477D-AF4E-0915A4BB74F0}"/>
  </w:font>
  <w:font w:name="方正小标宋简体">
    <w:panose1 w:val="02000000000000000000"/>
    <w:charset w:val="86"/>
    <w:family w:val="auto"/>
    <w:pitch w:val="default"/>
    <w:sig w:usb0="00000001" w:usb1="080E0000" w:usb2="00000000" w:usb3="00000000" w:csb0="00040000" w:csb1="00000000"/>
    <w:embedRegular r:id="rId3" w:fontKey="{603077CA-2A6C-4AE8-9FBA-C542F19D2329}"/>
  </w:font>
  <w:font w:name="仿宋">
    <w:panose1 w:val="02010609060101010101"/>
    <w:charset w:val="86"/>
    <w:family w:val="auto"/>
    <w:pitch w:val="default"/>
    <w:sig w:usb0="800002BF" w:usb1="38CF7CFA" w:usb2="00000016" w:usb3="00000000" w:csb0="00040001" w:csb1="00000000"/>
    <w:embedRegular r:id="rId4" w:fontKey="{A5E2FE1C-3DBF-4EA4-A074-4B86A29963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29A8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F72B41">
                          <w:pPr>
                            <w:pStyle w:val="3"/>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6BF72B41">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A30C34"/>
    <w:rsid w:val="03A30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2026-10-10T01:25:00Z</dcterms:created>
  <dc:creator>信息安全头等舱</dc:creator>
  <cp:lastModifiedBy>信息安全头等舱</cp:lastModifiedBy>
  <dcterms:modified xsi:type="dcterms:W3CDTF">2026-10-10T01:25:40Z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9D397DE6DA144B4B82617CA4CC5C6AFA_11</vt:lpwstr>
  </property>
  <property fmtid="{D5CDD505-2E9C-101B-9397-08002B2CF9AE}" pid="4" name="KSOTemplateDocerSaveRecord">
    <vt:lpwstr>eyJoZGlkIjoiODU0YjEyMzc1ZjI5YTA2ZWIzNGE5NWNhZjdmNzY0YTEiLCJ1c2VySWQiOiIxNjgyNTIxNTI5In0=</vt:lpwstr>
  </property>
</Properties>
</file>