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E6EBDF">
      <w:pPr>
        <w:pStyle w:val="16"/>
        <w:keepNext w:val="0"/>
        <w:keepLines w:val="0"/>
        <w:pageBreakBefore w:val="0"/>
        <w:widowControl/>
        <w:suppressLineNumbers w:val="0"/>
        <w:kinsoku/>
        <w:wordWrap/>
        <w:overflowPunct/>
        <w:topLinePunct/>
        <w:autoSpaceDE/>
        <w:autoSpaceDN/>
        <w:bidi w:val="0"/>
        <w:adjustRightInd/>
        <w:snapToGrid/>
        <w:spacing w:before="0" w:beforeLines="0" w:beforeAutospacing="0" w:after="0" w:afterLines="0" w:afterAutospacing="0" w:line="560" w:lineRule="exact"/>
        <w:ind w:right="0" w:rightChars="0"/>
        <w:textAlignment w:val="auto"/>
        <w:rPr>
          <w:rFonts w:hint="default"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14:paraId="1286D74A">
      <w:pPr>
        <w:keepNext w:val="0"/>
        <w:keepLines w:val="0"/>
        <w:pageBreakBefore w:val="0"/>
        <w:widowControl w:val="0"/>
        <w:kinsoku/>
        <w:wordWrap/>
        <w:overflowPunct/>
        <w:topLinePunct w:val="0"/>
        <w:autoSpaceDE/>
        <w:autoSpaceDN/>
        <w:bidi w:val="0"/>
        <w:adjustRightInd/>
        <w:snapToGrid/>
        <w:spacing w:line="560" w:lineRule="exact"/>
        <w:ind w:firstLine="720" w:firstLineChars="200"/>
        <w:jc w:val="center"/>
        <w:textAlignment w:val="auto"/>
        <w:rPr>
          <w:rFonts w:hint="eastAsia" w:ascii="方正小标宋简体" w:hAnsi="方正小标宋简体" w:eastAsia="方正小标宋简体" w:cs="方正小标宋简体"/>
          <w:color w:val="auto"/>
          <w:sz w:val="36"/>
          <w:szCs w:val="36"/>
          <w:highlight w:val="none"/>
          <w:shd w:val="clear" w:color="auto" w:fill="FFFFFF"/>
          <w:lang w:val="en-US" w:eastAsia="zh-CN"/>
        </w:rPr>
      </w:pPr>
      <w:r>
        <w:rPr>
          <w:rFonts w:hint="eastAsia" w:ascii="方正小标宋简体" w:hAnsi="方正小标宋简体" w:eastAsia="方正小标宋简体" w:cs="方正小标宋简体"/>
          <w:color w:val="auto"/>
          <w:sz w:val="36"/>
          <w:szCs w:val="36"/>
          <w:highlight w:val="none"/>
          <w:shd w:val="clear" w:color="auto" w:fill="FFFFFF"/>
          <w:lang w:val="en-US" w:eastAsia="zh-CN"/>
        </w:rPr>
        <w:t xml:space="preserve"> 一标段房屋空间改造评分表</w:t>
      </w:r>
    </w:p>
    <w:tbl>
      <w:tblPr>
        <w:tblStyle w:val="20"/>
        <w:tblW w:w="96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1385"/>
        <w:gridCol w:w="1202"/>
        <w:gridCol w:w="6287"/>
      </w:tblGrid>
      <w:tr w14:paraId="34304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center"/>
          </w:tcPr>
          <w:p w14:paraId="4C547682">
            <w:pPr>
              <w:spacing w:line="360" w:lineRule="auto"/>
              <w:rPr>
                <w:b/>
                <w:bCs/>
                <w:sz w:val="24"/>
              </w:rPr>
            </w:pPr>
            <w:r>
              <w:rPr>
                <w:rFonts w:hint="eastAsia" w:cs="宋体"/>
                <w:b/>
                <w:bCs/>
                <w:sz w:val="24"/>
              </w:rPr>
              <w:t>序号</w:t>
            </w:r>
          </w:p>
        </w:tc>
        <w:tc>
          <w:tcPr>
            <w:tcW w:w="1385" w:type="dxa"/>
            <w:tcBorders>
              <w:top w:val="single" w:color="auto" w:sz="4" w:space="0"/>
              <w:left w:val="single" w:color="auto" w:sz="4" w:space="0"/>
              <w:bottom w:val="single" w:color="auto" w:sz="4" w:space="0"/>
              <w:right w:val="single" w:color="auto" w:sz="4" w:space="0"/>
            </w:tcBorders>
            <w:noWrap w:val="0"/>
            <w:vAlign w:val="center"/>
          </w:tcPr>
          <w:p w14:paraId="770B7EBB">
            <w:pPr>
              <w:spacing w:line="360" w:lineRule="auto"/>
              <w:rPr>
                <w:b/>
                <w:bCs/>
                <w:sz w:val="24"/>
              </w:rPr>
            </w:pPr>
            <w:r>
              <w:rPr>
                <w:rFonts w:hint="eastAsia" w:cs="宋体"/>
                <w:b/>
                <w:bCs/>
                <w:sz w:val="24"/>
              </w:rPr>
              <w:t>评审项目</w:t>
            </w:r>
          </w:p>
        </w:tc>
        <w:tc>
          <w:tcPr>
            <w:tcW w:w="1202" w:type="dxa"/>
            <w:tcBorders>
              <w:top w:val="single" w:color="auto" w:sz="4" w:space="0"/>
              <w:left w:val="single" w:color="auto" w:sz="4" w:space="0"/>
              <w:bottom w:val="single" w:color="auto" w:sz="4" w:space="0"/>
              <w:right w:val="single" w:color="auto" w:sz="4" w:space="0"/>
            </w:tcBorders>
            <w:noWrap w:val="0"/>
            <w:vAlign w:val="center"/>
          </w:tcPr>
          <w:p w14:paraId="2D3ADFB1">
            <w:pPr>
              <w:spacing w:line="360" w:lineRule="auto"/>
              <w:jc w:val="center"/>
              <w:rPr>
                <w:rFonts w:hint="eastAsia" w:eastAsia="宋体"/>
                <w:b/>
                <w:bCs/>
                <w:sz w:val="24"/>
                <w:lang w:eastAsia="zh-CN"/>
              </w:rPr>
            </w:pPr>
            <w:r>
              <w:rPr>
                <w:rFonts w:hint="eastAsia" w:cs="宋体"/>
                <w:b/>
                <w:bCs/>
                <w:sz w:val="24"/>
                <w:lang w:eastAsia="zh-CN"/>
              </w:rPr>
              <w:t>标准分</w:t>
            </w:r>
          </w:p>
        </w:tc>
        <w:tc>
          <w:tcPr>
            <w:tcW w:w="6287" w:type="dxa"/>
            <w:tcBorders>
              <w:top w:val="single" w:color="auto" w:sz="4" w:space="0"/>
              <w:left w:val="single" w:color="auto" w:sz="4" w:space="0"/>
              <w:bottom w:val="single" w:color="auto" w:sz="4" w:space="0"/>
              <w:right w:val="single" w:color="auto" w:sz="4" w:space="0"/>
            </w:tcBorders>
            <w:noWrap w:val="0"/>
            <w:vAlign w:val="center"/>
          </w:tcPr>
          <w:p w14:paraId="26FA152A">
            <w:pPr>
              <w:spacing w:line="360" w:lineRule="auto"/>
              <w:jc w:val="center"/>
              <w:rPr>
                <w:b/>
                <w:bCs/>
                <w:sz w:val="24"/>
              </w:rPr>
            </w:pPr>
            <w:r>
              <w:rPr>
                <w:rFonts w:hint="eastAsia" w:cs="宋体"/>
                <w:b/>
                <w:bCs/>
                <w:sz w:val="24"/>
              </w:rPr>
              <w:t>评分标准</w:t>
            </w:r>
          </w:p>
        </w:tc>
      </w:tr>
      <w:tr w14:paraId="22179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center"/>
          </w:tcPr>
          <w:p w14:paraId="23DCB7F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385" w:type="dxa"/>
            <w:tcBorders>
              <w:top w:val="single" w:color="auto" w:sz="4" w:space="0"/>
              <w:left w:val="single" w:color="auto" w:sz="4" w:space="0"/>
              <w:bottom w:val="single" w:color="auto" w:sz="4" w:space="0"/>
              <w:right w:val="single" w:color="auto" w:sz="4" w:space="0"/>
            </w:tcBorders>
            <w:noWrap w:val="0"/>
            <w:vAlign w:val="center"/>
          </w:tcPr>
          <w:p w14:paraId="34AB988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cs="宋体"/>
                <w:sz w:val="24"/>
                <w:szCs w:val="24"/>
                <w:lang w:eastAsia="zh-CN"/>
              </w:rPr>
              <w:t>响应</w:t>
            </w:r>
            <w:r>
              <w:rPr>
                <w:rFonts w:hint="eastAsia" w:ascii="宋体" w:hAnsi="宋体" w:eastAsia="宋体" w:cs="宋体"/>
                <w:sz w:val="24"/>
                <w:szCs w:val="24"/>
              </w:rPr>
              <w:t>报价</w:t>
            </w:r>
          </w:p>
        </w:tc>
        <w:tc>
          <w:tcPr>
            <w:tcW w:w="1202" w:type="dxa"/>
            <w:tcBorders>
              <w:top w:val="single" w:color="auto" w:sz="4" w:space="0"/>
              <w:left w:val="single" w:color="auto" w:sz="4" w:space="0"/>
              <w:bottom w:val="single" w:color="auto" w:sz="4" w:space="0"/>
              <w:right w:val="single" w:color="auto" w:sz="4" w:space="0"/>
            </w:tcBorders>
            <w:noWrap w:val="0"/>
            <w:vAlign w:val="center"/>
          </w:tcPr>
          <w:p w14:paraId="2290DB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tc>
        <w:tc>
          <w:tcPr>
            <w:tcW w:w="6287" w:type="dxa"/>
            <w:tcBorders>
              <w:top w:val="single" w:color="auto" w:sz="4" w:space="0"/>
              <w:left w:val="single" w:color="auto" w:sz="4" w:space="0"/>
              <w:bottom w:val="single" w:color="auto" w:sz="4" w:space="0"/>
              <w:right w:val="single" w:color="auto" w:sz="4" w:space="0"/>
            </w:tcBorders>
            <w:noWrap w:val="0"/>
            <w:vAlign w:val="center"/>
          </w:tcPr>
          <w:p w14:paraId="30DDD666">
            <w:pPr>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满足</w:t>
            </w:r>
            <w:r>
              <w:rPr>
                <w:rFonts w:hint="eastAsia" w:ascii="宋体" w:hAnsi="宋体" w:eastAsia="宋体" w:cs="宋体"/>
                <w:b/>
                <w:bCs/>
                <w:sz w:val="24"/>
                <w:szCs w:val="24"/>
                <w:lang w:eastAsia="zh-CN"/>
              </w:rPr>
              <w:t>采购文件</w:t>
            </w:r>
            <w:r>
              <w:rPr>
                <w:rFonts w:hint="eastAsia" w:ascii="宋体" w:hAnsi="宋体" w:eastAsia="宋体" w:cs="宋体"/>
                <w:b/>
                <w:bCs/>
                <w:sz w:val="24"/>
                <w:szCs w:val="24"/>
              </w:rPr>
              <w:t>要求且最终报价最低的</w:t>
            </w:r>
            <w:r>
              <w:rPr>
                <w:rFonts w:hint="eastAsia" w:ascii="宋体" w:hAnsi="宋体" w:eastAsia="宋体" w:cs="宋体"/>
                <w:b/>
                <w:bCs/>
                <w:sz w:val="24"/>
                <w:szCs w:val="24"/>
                <w:lang w:eastAsia="zh-CN"/>
              </w:rPr>
              <w:t>响应</w:t>
            </w:r>
            <w:r>
              <w:rPr>
                <w:rFonts w:hint="eastAsia" w:ascii="宋体" w:hAnsi="宋体" w:eastAsia="宋体" w:cs="宋体"/>
                <w:b/>
                <w:bCs/>
                <w:sz w:val="24"/>
                <w:szCs w:val="24"/>
              </w:rPr>
              <w:t>报价为基准价，其价格得分计1</w:t>
            </w:r>
            <w:r>
              <w:rPr>
                <w:rFonts w:hint="eastAsia" w:ascii="宋体" w:hAnsi="宋体" w:eastAsia="宋体" w:cs="宋体"/>
                <w:b/>
                <w:bCs/>
                <w:sz w:val="24"/>
                <w:szCs w:val="24"/>
                <w:lang w:val="en-US" w:eastAsia="zh-CN"/>
              </w:rPr>
              <w:t>5</w:t>
            </w:r>
            <w:r>
              <w:rPr>
                <w:rFonts w:hint="eastAsia" w:ascii="宋体" w:hAnsi="宋体" w:eastAsia="宋体" w:cs="宋体"/>
                <w:b/>
                <w:bCs/>
                <w:sz w:val="24"/>
                <w:szCs w:val="24"/>
              </w:rPr>
              <w:t>分。</w:t>
            </w:r>
          </w:p>
          <w:p w14:paraId="7179DF52">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其他供应商的报价得分统一按公式计算：</w:t>
            </w:r>
            <w:r>
              <w:rPr>
                <w:rFonts w:hint="eastAsia" w:ascii="宋体" w:hAnsi="宋体" w:eastAsia="宋体" w:cs="宋体"/>
                <w:sz w:val="24"/>
                <w:szCs w:val="24"/>
                <w:lang w:eastAsia="zh-CN"/>
              </w:rPr>
              <w:t>供应商</w:t>
            </w:r>
            <w:r>
              <w:rPr>
                <w:rFonts w:hint="eastAsia" w:ascii="宋体" w:hAnsi="宋体" w:eastAsia="宋体" w:cs="宋体"/>
                <w:sz w:val="24"/>
                <w:szCs w:val="24"/>
              </w:rPr>
              <w:t>报价得分=（基准价/</w:t>
            </w:r>
            <w:r>
              <w:rPr>
                <w:rFonts w:hint="eastAsia" w:ascii="宋体" w:hAnsi="宋体" w:eastAsia="宋体" w:cs="宋体"/>
                <w:sz w:val="24"/>
                <w:szCs w:val="24"/>
                <w:lang w:eastAsia="zh-CN"/>
              </w:rPr>
              <w:t>供应商</w:t>
            </w:r>
            <w:r>
              <w:rPr>
                <w:rFonts w:hint="eastAsia" w:ascii="宋体" w:hAnsi="宋体" w:eastAsia="宋体" w:cs="宋体"/>
                <w:sz w:val="24"/>
                <w:szCs w:val="24"/>
              </w:rPr>
              <w:t>报价）×1</w:t>
            </w:r>
            <w:r>
              <w:rPr>
                <w:rFonts w:hint="eastAsia" w:ascii="宋体" w:hAnsi="宋体" w:eastAsia="宋体" w:cs="宋体"/>
                <w:sz w:val="24"/>
                <w:szCs w:val="24"/>
                <w:lang w:val="en-US" w:eastAsia="zh-CN"/>
              </w:rPr>
              <w:t>5</w:t>
            </w:r>
            <w:r>
              <w:rPr>
                <w:rFonts w:hint="eastAsia" w:ascii="宋体" w:hAnsi="宋体" w:eastAsia="宋体" w:cs="宋体"/>
                <w:sz w:val="24"/>
                <w:szCs w:val="24"/>
              </w:rPr>
              <w:t>（小数点后保留二位小数）</w:t>
            </w:r>
          </w:p>
        </w:tc>
      </w:tr>
      <w:tr w14:paraId="609E5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center"/>
          </w:tcPr>
          <w:p w14:paraId="4CBB0C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385" w:type="dxa"/>
            <w:tcBorders>
              <w:top w:val="single" w:color="auto" w:sz="4" w:space="0"/>
              <w:left w:val="single" w:color="auto" w:sz="4" w:space="0"/>
              <w:bottom w:val="single" w:color="auto" w:sz="4" w:space="0"/>
              <w:right w:val="single" w:color="auto" w:sz="4" w:space="0"/>
            </w:tcBorders>
            <w:noWrap w:val="0"/>
            <w:vAlign w:val="center"/>
          </w:tcPr>
          <w:p w14:paraId="05E590F1">
            <w:pPr>
              <w:pStyle w:val="28"/>
              <w:keepNext w:val="0"/>
              <w:keepLines w:val="0"/>
              <w:pageBreakBefore w:val="0"/>
              <w:widowControl w:val="0"/>
              <w:kinsoku/>
              <w:wordWrap/>
              <w:autoSpaceDE/>
              <w:autoSpaceDN/>
              <w:bidi w:val="0"/>
              <w:snapToGrid/>
              <w:spacing w:before="78" w:line="540" w:lineRule="exact"/>
              <w:ind w:left="24" w:leftChars="0" w:right="39" w:rightChars="0" w:hanging="3" w:firstLineChars="0"/>
              <w:jc w:val="center"/>
              <w:rPr>
                <w:rFonts w:hint="eastAsia" w:ascii="宋体" w:hAnsi="宋体" w:eastAsia="宋体" w:cs="宋体"/>
                <w:sz w:val="24"/>
                <w:szCs w:val="24"/>
              </w:rPr>
            </w:pPr>
            <w:r>
              <w:rPr>
                <w:rFonts w:hint="eastAsia" w:ascii="宋体" w:hAnsi="宋体" w:eastAsia="宋体" w:cs="宋体"/>
                <w:color w:val="auto"/>
                <w:sz w:val="24"/>
                <w:szCs w:val="24"/>
                <w:highlight w:val="none"/>
                <w:lang w:val="en-US" w:eastAsia="zh-CN"/>
              </w:rPr>
              <w:t>类似业绩</w:t>
            </w:r>
          </w:p>
        </w:tc>
        <w:tc>
          <w:tcPr>
            <w:tcW w:w="1202" w:type="dxa"/>
            <w:tcBorders>
              <w:top w:val="single" w:color="auto" w:sz="4" w:space="0"/>
              <w:left w:val="single" w:color="auto" w:sz="4" w:space="0"/>
              <w:bottom w:val="single" w:color="auto" w:sz="4" w:space="0"/>
              <w:right w:val="single" w:color="auto" w:sz="4" w:space="0"/>
            </w:tcBorders>
            <w:noWrap w:val="0"/>
            <w:vAlign w:val="center"/>
          </w:tcPr>
          <w:p w14:paraId="1AEFF597">
            <w:pPr>
              <w:keepNext w:val="0"/>
              <w:keepLines w:val="0"/>
              <w:pageBreakBefore w:val="0"/>
              <w:kinsoku/>
              <w:wordWrap/>
              <w:bidi w:val="0"/>
              <w:snapToGrid/>
              <w:spacing w:line="540" w:lineRule="exact"/>
              <w:jc w:val="center"/>
              <w:rPr>
                <w:rFonts w:hint="default" w:ascii="宋体" w:hAnsi="宋体" w:eastAsia="宋体" w:cs="宋体"/>
                <w:sz w:val="24"/>
                <w:szCs w:val="24"/>
                <w:lang w:val="en-US"/>
              </w:rPr>
            </w:pPr>
            <w:r>
              <w:rPr>
                <w:rFonts w:hint="eastAsia" w:ascii="宋体" w:hAnsi="宋体" w:eastAsia="宋体" w:cs="宋体"/>
                <w:color w:val="auto"/>
                <w:sz w:val="24"/>
                <w:szCs w:val="24"/>
                <w:highlight w:val="none"/>
                <w:lang w:val="en-US" w:eastAsia="zh-CN"/>
              </w:rPr>
              <w:t>10</w:t>
            </w:r>
            <w:r>
              <w:rPr>
                <w:rFonts w:hint="eastAsia" w:ascii="宋体" w:hAnsi="宋体" w:cs="宋体"/>
                <w:color w:val="auto"/>
                <w:sz w:val="24"/>
                <w:szCs w:val="24"/>
                <w:highlight w:val="none"/>
                <w:lang w:val="en-US" w:eastAsia="zh-CN"/>
              </w:rPr>
              <w:t>分</w:t>
            </w:r>
          </w:p>
        </w:tc>
        <w:tc>
          <w:tcPr>
            <w:tcW w:w="6287" w:type="dxa"/>
            <w:tcBorders>
              <w:top w:val="single" w:color="auto" w:sz="4" w:space="0"/>
              <w:left w:val="single" w:color="auto" w:sz="4" w:space="0"/>
              <w:bottom w:val="single" w:color="auto" w:sz="4" w:space="0"/>
              <w:right w:val="single" w:color="auto" w:sz="4" w:space="0"/>
            </w:tcBorders>
            <w:noWrap w:val="0"/>
            <w:vAlign w:val="center"/>
          </w:tcPr>
          <w:p w14:paraId="60F28270">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宋体" w:hAnsi="宋体" w:eastAsia="宋体" w:cs="宋体"/>
                <w:b/>
                <w:bCs/>
                <w:color w:val="auto"/>
                <w:spacing w:val="-2"/>
                <w:kern w:val="2"/>
                <w:sz w:val="24"/>
                <w:szCs w:val="24"/>
                <w:highlight w:val="none"/>
                <w:lang w:val="en-US" w:eastAsia="zh-CN" w:bidi="ar-SA"/>
              </w:rPr>
            </w:pPr>
            <w:r>
              <w:rPr>
                <w:rFonts w:hint="eastAsia" w:ascii="宋体" w:hAnsi="宋体" w:eastAsia="宋体" w:cs="宋体"/>
                <w:b/>
                <w:bCs/>
                <w:color w:val="auto"/>
                <w:spacing w:val="-2"/>
                <w:kern w:val="2"/>
                <w:sz w:val="24"/>
                <w:szCs w:val="24"/>
                <w:highlight w:val="none"/>
                <w:lang w:val="en-US" w:eastAsia="zh-CN" w:bidi="ar-SA"/>
              </w:rPr>
              <w:t>供应商提供近三年（2023年9月至响应截止日）类似业绩，有一项得2分，加分至标准分为止。</w:t>
            </w:r>
          </w:p>
          <w:p w14:paraId="161F973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宋体" w:hAnsi="宋体" w:eastAsia="宋体" w:cs="宋体"/>
                <w:sz w:val="24"/>
                <w:szCs w:val="24"/>
              </w:rPr>
            </w:pPr>
            <w:r>
              <w:rPr>
                <w:rFonts w:hint="eastAsia" w:ascii="宋体" w:hAnsi="宋体" w:eastAsia="宋体" w:cs="宋体"/>
                <w:color w:val="auto"/>
                <w:sz w:val="24"/>
                <w:szCs w:val="24"/>
                <w:lang w:val="en-US" w:eastAsia="zh-CN"/>
              </w:rPr>
              <w:t>注</w:t>
            </w:r>
            <w:r>
              <w:rPr>
                <w:rFonts w:hint="eastAsia" w:ascii="宋体" w:hAnsi="宋体" w:eastAsia="宋体" w:cs="宋体"/>
                <w:sz w:val="24"/>
                <w:szCs w:val="24"/>
                <w:lang w:val="en-US" w:eastAsia="zh-CN"/>
              </w:rPr>
              <w:t>：1.须提供合同关键页或中标通知书复印件并加盖公章，否则不得分（关键页包括但不限于合同封面、采购内容、合同签字盖章页（甲乙双方盖章））等；2.供应商应确保所提供的所有资料真实有效，若提供虚假证明资料，成交无效，且供应商必须承担相应责任。</w:t>
            </w:r>
          </w:p>
        </w:tc>
      </w:tr>
      <w:tr w14:paraId="353D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center"/>
          </w:tcPr>
          <w:p w14:paraId="0A7069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385" w:type="dxa"/>
            <w:tcBorders>
              <w:top w:val="single" w:color="auto" w:sz="4" w:space="0"/>
              <w:left w:val="single" w:color="auto" w:sz="4" w:space="0"/>
              <w:bottom w:val="single" w:color="auto" w:sz="4" w:space="0"/>
              <w:right w:val="single" w:color="auto" w:sz="4" w:space="0"/>
            </w:tcBorders>
            <w:noWrap w:val="0"/>
            <w:vAlign w:val="center"/>
          </w:tcPr>
          <w:p w14:paraId="3A3A1DCC">
            <w:pPr>
              <w:pStyle w:val="28"/>
              <w:keepNext w:val="0"/>
              <w:keepLines w:val="0"/>
              <w:pageBreakBefore w:val="0"/>
              <w:widowControl w:val="0"/>
              <w:kinsoku/>
              <w:wordWrap/>
              <w:autoSpaceDE/>
              <w:autoSpaceDN/>
              <w:bidi w:val="0"/>
              <w:snapToGrid/>
              <w:spacing w:before="78" w:line="540" w:lineRule="exact"/>
              <w:ind w:left="24" w:leftChars="0" w:right="39" w:rightChars="0" w:hanging="3"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施工方案与技术措施</w:t>
            </w:r>
          </w:p>
        </w:tc>
        <w:tc>
          <w:tcPr>
            <w:tcW w:w="1202" w:type="dxa"/>
            <w:tcBorders>
              <w:top w:val="single" w:color="auto" w:sz="4" w:space="0"/>
              <w:left w:val="single" w:color="auto" w:sz="4" w:space="0"/>
              <w:bottom w:val="single" w:color="auto" w:sz="4" w:space="0"/>
              <w:right w:val="single" w:color="auto" w:sz="4" w:space="0"/>
            </w:tcBorders>
            <w:noWrap w:val="0"/>
            <w:vAlign w:val="center"/>
          </w:tcPr>
          <w:p w14:paraId="17388EBF">
            <w:pPr>
              <w:keepNext w:val="0"/>
              <w:keepLines w:val="0"/>
              <w:pageBreakBefore w:val="0"/>
              <w:kinsoku/>
              <w:wordWrap/>
              <w:bidi w:val="0"/>
              <w:snapToGrid/>
              <w:spacing w:line="5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15分</w:t>
            </w:r>
          </w:p>
        </w:tc>
        <w:tc>
          <w:tcPr>
            <w:tcW w:w="6287" w:type="dxa"/>
            <w:tcBorders>
              <w:top w:val="single" w:color="auto" w:sz="4" w:space="0"/>
              <w:left w:val="single" w:color="auto" w:sz="4" w:space="0"/>
              <w:bottom w:val="single" w:color="auto" w:sz="4" w:space="0"/>
              <w:right w:val="single" w:color="auto" w:sz="4" w:space="0"/>
            </w:tcBorders>
            <w:noWrap w:val="0"/>
            <w:vAlign w:val="center"/>
          </w:tcPr>
          <w:p w14:paraId="53BA2249">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包括但不限于改造实施、人员职责分工、施工管理措施、技术保障措施等。</w:t>
            </w:r>
          </w:p>
          <w:p w14:paraId="306C8EFD">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方案详细完善、科学、规范、全面,有施工图、效果图，可实施性强,精准,能够很好的满足项目特点的得</w:t>
            </w:r>
            <w:r>
              <w:rPr>
                <w:rFonts w:hint="eastAsia" w:ascii="宋体" w:hAnsi="宋体" w:cs="宋体"/>
                <w:color w:val="auto"/>
                <w:sz w:val="24"/>
                <w:szCs w:val="24"/>
                <w:lang w:val="en-US" w:eastAsia="zh-CN"/>
              </w:rPr>
              <w:t>11-15</w:t>
            </w:r>
            <w:r>
              <w:rPr>
                <w:rFonts w:hint="eastAsia" w:ascii="宋体" w:hAnsi="宋体" w:eastAsia="宋体" w:cs="宋体"/>
                <w:color w:val="auto"/>
                <w:sz w:val="24"/>
                <w:szCs w:val="24"/>
                <w:lang w:val="en-US" w:eastAsia="zh-CN"/>
              </w:rPr>
              <w:t>分；实施方案编制完善、较合理、但比较简略的</w:t>
            </w:r>
            <w:r>
              <w:rPr>
                <w:rFonts w:hint="eastAsia" w:ascii="宋体" w:hAnsi="宋体" w:cs="宋体"/>
                <w:color w:val="auto"/>
                <w:sz w:val="24"/>
                <w:szCs w:val="24"/>
                <w:lang w:val="en-US" w:eastAsia="zh-CN"/>
              </w:rPr>
              <w:t>6-10</w:t>
            </w:r>
            <w:r>
              <w:rPr>
                <w:rFonts w:hint="eastAsia" w:ascii="宋体" w:hAnsi="宋体" w:eastAsia="宋体" w:cs="宋体"/>
                <w:color w:val="auto"/>
                <w:sz w:val="24"/>
                <w:szCs w:val="24"/>
                <w:lang w:val="en-US" w:eastAsia="zh-CN"/>
              </w:rPr>
              <w:t>分；有实施方案,但方案过于简单的或大部分内容与本项目特点无关的得1-</w:t>
            </w: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分；</w:t>
            </w:r>
            <w:r>
              <w:rPr>
                <w:rFonts w:hint="eastAsia" w:ascii="宋体" w:hAnsi="宋体" w:cs="宋体"/>
                <w:color w:val="auto"/>
                <w:sz w:val="24"/>
                <w:szCs w:val="24"/>
                <w:lang w:val="en-US" w:eastAsia="zh-CN"/>
              </w:rPr>
              <w:t>未</w:t>
            </w:r>
            <w:r>
              <w:rPr>
                <w:rFonts w:hint="eastAsia" w:ascii="宋体" w:hAnsi="宋体" w:eastAsia="宋体" w:cs="宋体"/>
                <w:color w:val="auto"/>
                <w:sz w:val="24"/>
                <w:szCs w:val="24"/>
                <w:lang w:val="en-US" w:eastAsia="zh-CN"/>
              </w:rPr>
              <w:t>提供</w:t>
            </w:r>
            <w:r>
              <w:rPr>
                <w:rFonts w:hint="eastAsia" w:cs="宋体"/>
                <w:sz w:val="24"/>
              </w:rPr>
              <w:t>相应内容</w:t>
            </w:r>
            <w:r>
              <w:rPr>
                <w:rFonts w:hint="eastAsia" w:ascii="宋体" w:hAnsi="宋体" w:cs="宋体"/>
                <w:color w:val="auto"/>
                <w:sz w:val="24"/>
                <w:szCs w:val="24"/>
                <w:lang w:val="en-US" w:eastAsia="zh-CN"/>
              </w:rPr>
              <w:t>不得</w:t>
            </w:r>
            <w:r>
              <w:rPr>
                <w:rFonts w:hint="eastAsia" w:ascii="宋体" w:hAnsi="宋体" w:eastAsia="宋体" w:cs="宋体"/>
                <w:color w:val="auto"/>
                <w:sz w:val="24"/>
                <w:szCs w:val="24"/>
                <w:lang w:val="en-US" w:eastAsia="zh-CN"/>
              </w:rPr>
              <w:t>分。</w:t>
            </w:r>
          </w:p>
        </w:tc>
      </w:tr>
      <w:tr w14:paraId="543D9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center"/>
          </w:tcPr>
          <w:p w14:paraId="075956C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1385" w:type="dxa"/>
            <w:tcBorders>
              <w:top w:val="single" w:color="auto" w:sz="4" w:space="0"/>
              <w:left w:val="single" w:color="auto" w:sz="4" w:space="0"/>
              <w:bottom w:val="single" w:color="auto" w:sz="4" w:space="0"/>
              <w:right w:val="single" w:color="auto" w:sz="4" w:space="0"/>
            </w:tcBorders>
            <w:noWrap w:val="0"/>
            <w:vAlign w:val="center"/>
          </w:tcPr>
          <w:p w14:paraId="1638C31F">
            <w:pPr>
              <w:pStyle w:val="28"/>
              <w:keepNext w:val="0"/>
              <w:keepLines w:val="0"/>
              <w:pageBreakBefore w:val="0"/>
              <w:widowControl w:val="0"/>
              <w:kinsoku/>
              <w:wordWrap/>
              <w:autoSpaceDE/>
              <w:autoSpaceDN/>
              <w:bidi w:val="0"/>
              <w:snapToGrid/>
              <w:spacing w:before="78" w:line="540" w:lineRule="exact"/>
              <w:ind w:left="24" w:leftChars="0" w:right="39" w:rightChars="0" w:hanging="3" w:firstLineChars="0"/>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质量管理措施</w:t>
            </w:r>
          </w:p>
        </w:tc>
        <w:tc>
          <w:tcPr>
            <w:tcW w:w="1202" w:type="dxa"/>
            <w:tcBorders>
              <w:top w:val="single" w:color="auto" w:sz="4" w:space="0"/>
              <w:left w:val="single" w:color="auto" w:sz="4" w:space="0"/>
              <w:bottom w:val="single" w:color="auto" w:sz="4" w:space="0"/>
              <w:right w:val="single" w:color="auto" w:sz="4" w:space="0"/>
            </w:tcBorders>
            <w:noWrap w:val="0"/>
            <w:vAlign w:val="center"/>
          </w:tcPr>
          <w:p w14:paraId="37B01298">
            <w:pPr>
              <w:keepNext w:val="0"/>
              <w:keepLines w:val="0"/>
              <w:pageBreakBefore w:val="0"/>
              <w:kinsoku/>
              <w:wordWrap/>
              <w:bidi w:val="0"/>
              <w:snapToGrid/>
              <w:spacing w:line="5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15分</w:t>
            </w:r>
          </w:p>
        </w:tc>
        <w:tc>
          <w:tcPr>
            <w:tcW w:w="6287" w:type="dxa"/>
            <w:tcBorders>
              <w:top w:val="single" w:color="auto" w:sz="4" w:space="0"/>
              <w:left w:val="single" w:color="auto" w:sz="4" w:space="0"/>
              <w:bottom w:val="single" w:color="auto" w:sz="4" w:space="0"/>
              <w:right w:val="single" w:color="auto" w:sz="4" w:space="0"/>
            </w:tcBorders>
            <w:noWrap w:val="0"/>
            <w:vAlign w:val="center"/>
          </w:tcPr>
          <w:p w14:paraId="38FBBAB0">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制定质量管理措施，包括但不限于质量控制目标、质量保证措施、质量管理措施。</w:t>
            </w:r>
          </w:p>
          <w:p w14:paraId="61CA6D6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措施完整、科学严谨、规范、全面、能够实现项目工程质量保证,满足采购人要求的得</w:t>
            </w:r>
            <w:r>
              <w:rPr>
                <w:rFonts w:hint="eastAsia" w:ascii="宋体" w:hAnsi="宋体" w:cs="宋体"/>
                <w:bCs/>
                <w:color w:val="auto"/>
                <w:sz w:val="24"/>
                <w:szCs w:val="24"/>
                <w:highlight w:val="none"/>
                <w:lang w:val="en-US" w:eastAsia="zh-CN"/>
              </w:rPr>
              <w:t>11-15</w:t>
            </w:r>
            <w:r>
              <w:rPr>
                <w:rFonts w:hint="eastAsia" w:ascii="宋体" w:hAnsi="宋体" w:eastAsia="宋体" w:cs="宋体"/>
                <w:bCs/>
                <w:color w:val="auto"/>
                <w:sz w:val="24"/>
                <w:szCs w:val="24"/>
                <w:highlight w:val="none"/>
                <w:lang w:val="en-US" w:eastAsia="zh-CN"/>
              </w:rPr>
              <w:t>分；措施较完整、可实施性较强,基本满足项目施工要求的得</w:t>
            </w:r>
            <w:r>
              <w:rPr>
                <w:rFonts w:hint="eastAsia" w:ascii="宋体" w:hAnsi="宋体" w:cs="宋体"/>
                <w:bCs/>
                <w:color w:val="auto"/>
                <w:sz w:val="24"/>
                <w:szCs w:val="24"/>
                <w:highlight w:val="none"/>
                <w:lang w:val="en-US" w:eastAsia="zh-CN"/>
              </w:rPr>
              <w:t>6-10</w:t>
            </w:r>
            <w:r>
              <w:rPr>
                <w:rFonts w:hint="eastAsia" w:ascii="宋体" w:hAnsi="宋体" w:eastAsia="宋体" w:cs="宋体"/>
                <w:bCs/>
                <w:color w:val="auto"/>
                <w:sz w:val="24"/>
                <w:szCs w:val="24"/>
                <w:highlight w:val="none"/>
                <w:lang w:val="en-US" w:eastAsia="zh-CN"/>
              </w:rPr>
              <w:t>分；措施有可操作性,但存在一些偏差及缺陷得</w:t>
            </w:r>
            <w:r>
              <w:rPr>
                <w:rFonts w:hint="eastAsia" w:ascii="宋体" w:hAnsi="宋体" w:cs="宋体"/>
                <w:bCs/>
                <w:color w:val="auto"/>
                <w:sz w:val="24"/>
                <w:szCs w:val="24"/>
                <w:highlight w:val="none"/>
                <w:lang w:val="en-US" w:eastAsia="zh-CN"/>
              </w:rPr>
              <w:t>1-5</w:t>
            </w:r>
            <w:r>
              <w:rPr>
                <w:rFonts w:hint="eastAsia" w:ascii="宋体" w:hAnsi="宋体" w:eastAsia="宋体" w:cs="宋体"/>
                <w:bCs/>
                <w:color w:val="auto"/>
                <w:sz w:val="24"/>
                <w:szCs w:val="24"/>
                <w:highlight w:val="none"/>
                <w:lang w:val="en-US" w:eastAsia="zh-CN"/>
              </w:rPr>
              <w:t>分；未提供</w:t>
            </w:r>
            <w:r>
              <w:rPr>
                <w:rFonts w:hint="eastAsia" w:cs="宋体"/>
                <w:sz w:val="24"/>
              </w:rPr>
              <w:t>相应内容</w:t>
            </w:r>
            <w:r>
              <w:rPr>
                <w:rFonts w:hint="eastAsia" w:ascii="宋体" w:hAnsi="宋体" w:eastAsia="宋体" w:cs="宋体"/>
                <w:bCs/>
                <w:color w:val="auto"/>
                <w:sz w:val="24"/>
                <w:szCs w:val="24"/>
                <w:highlight w:val="none"/>
                <w:lang w:val="en-US" w:eastAsia="zh-CN"/>
              </w:rPr>
              <w:t>不得分。</w:t>
            </w:r>
          </w:p>
        </w:tc>
      </w:tr>
      <w:tr w14:paraId="5762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center"/>
          </w:tcPr>
          <w:p w14:paraId="58302E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1385" w:type="dxa"/>
            <w:tcBorders>
              <w:top w:val="single" w:color="auto" w:sz="4" w:space="0"/>
              <w:left w:val="single" w:color="auto" w:sz="4" w:space="0"/>
              <w:bottom w:val="single" w:color="auto" w:sz="4" w:space="0"/>
              <w:right w:val="single" w:color="auto" w:sz="4" w:space="0"/>
            </w:tcBorders>
            <w:noWrap w:val="0"/>
            <w:vAlign w:val="center"/>
          </w:tcPr>
          <w:p w14:paraId="20B6976C">
            <w:pPr>
              <w:pStyle w:val="28"/>
              <w:keepNext w:val="0"/>
              <w:keepLines w:val="0"/>
              <w:pageBreakBefore w:val="0"/>
              <w:widowControl w:val="0"/>
              <w:kinsoku/>
              <w:wordWrap/>
              <w:autoSpaceDE/>
              <w:autoSpaceDN/>
              <w:bidi w:val="0"/>
              <w:snapToGrid/>
              <w:spacing w:before="78" w:line="54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安全管理措施</w:t>
            </w:r>
          </w:p>
        </w:tc>
        <w:tc>
          <w:tcPr>
            <w:tcW w:w="1202" w:type="dxa"/>
            <w:tcBorders>
              <w:top w:val="single" w:color="auto" w:sz="4" w:space="0"/>
              <w:left w:val="single" w:color="auto" w:sz="4" w:space="0"/>
              <w:bottom w:val="single" w:color="auto" w:sz="4" w:space="0"/>
              <w:right w:val="single" w:color="auto" w:sz="4" w:space="0"/>
            </w:tcBorders>
            <w:noWrap w:val="0"/>
            <w:vAlign w:val="center"/>
          </w:tcPr>
          <w:p w14:paraId="70BE738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分</w:t>
            </w:r>
          </w:p>
        </w:tc>
        <w:tc>
          <w:tcPr>
            <w:tcW w:w="6287" w:type="dxa"/>
            <w:tcBorders>
              <w:top w:val="single" w:color="auto" w:sz="4" w:space="0"/>
              <w:left w:val="single" w:color="auto" w:sz="4" w:space="0"/>
              <w:bottom w:val="single" w:color="auto" w:sz="4" w:space="0"/>
              <w:right w:val="single" w:color="auto" w:sz="4" w:space="0"/>
            </w:tcBorders>
            <w:noWrap w:val="0"/>
            <w:vAlign w:val="top"/>
          </w:tcPr>
          <w:p w14:paraId="014F8E01">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0" w:leftChars="0" w:firstLine="0" w:firstLineChars="0"/>
              <w:jc w:val="lef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制定安全管理措施，</w:t>
            </w:r>
            <w:r>
              <w:rPr>
                <w:rFonts w:hint="eastAsia" w:cs="宋体"/>
                <w:sz w:val="24"/>
              </w:rPr>
              <w:t>包</w:t>
            </w:r>
            <w:r>
              <w:rPr>
                <w:rFonts w:hint="eastAsia" w:cs="宋体"/>
                <w:sz w:val="24"/>
                <w:lang w:eastAsia="zh-CN"/>
              </w:rPr>
              <w:t>括</w:t>
            </w:r>
            <w:r>
              <w:rPr>
                <w:rFonts w:hint="eastAsia" w:cs="宋体"/>
                <w:sz w:val="24"/>
              </w:rPr>
              <w:t>但不限于安全保证制度、安全标准、安全防范措施、突发事件的紧急</w:t>
            </w:r>
            <w:r>
              <w:rPr>
                <w:rFonts w:hint="eastAsia" w:cs="宋体"/>
                <w:sz w:val="24"/>
                <w:lang w:eastAsia="zh-CN"/>
              </w:rPr>
              <w:t>处理</w:t>
            </w:r>
            <w:r>
              <w:rPr>
                <w:rFonts w:hint="eastAsia" w:cs="宋体"/>
                <w:sz w:val="24"/>
              </w:rPr>
              <w:t>等</w:t>
            </w:r>
            <w:r>
              <w:rPr>
                <w:rFonts w:hint="eastAsia" w:cs="宋体"/>
                <w:sz w:val="24"/>
                <w:lang w:eastAsia="zh-CN"/>
              </w:rPr>
              <w:t>。</w:t>
            </w:r>
          </w:p>
          <w:p w14:paraId="146F780D">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0" w:leftChars="0" w:firstLine="0" w:firstLineChars="0"/>
              <w:jc w:val="lef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安全措施内容完整、详细、科学、阐述明确、安排合理。且有针对性得</w:t>
            </w:r>
            <w:r>
              <w:rPr>
                <w:rFonts w:hint="eastAsia" w:ascii="宋体" w:hAnsi="宋体" w:cs="宋体"/>
                <w:bCs/>
                <w:color w:val="auto"/>
                <w:sz w:val="24"/>
                <w:szCs w:val="24"/>
                <w:highlight w:val="none"/>
                <w:lang w:val="en-US" w:eastAsia="zh-CN"/>
              </w:rPr>
              <w:t>11-15</w:t>
            </w:r>
            <w:r>
              <w:rPr>
                <w:rFonts w:hint="eastAsia" w:ascii="宋体" w:hAnsi="宋体" w:eastAsia="宋体" w:cs="宋体"/>
                <w:bCs/>
                <w:color w:val="auto"/>
                <w:sz w:val="24"/>
                <w:szCs w:val="24"/>
                <w:highlight w:val="none"/>
                <w:lang w:val="en-US" w:eastAsia="zh-CN"/>
              </w:rPr>
              <w:t>分；安全措施内容较完整、基本符合项目需求的得</w:t>
            </w:r>
            <w:r>
              <w:rPr>
                <w:rFonts w:hint="eastAsia" w:ascii="宋体" w:hAnsi="宋体" w:cs="宋体"/>
                <w:bCs/>
                <w:color w:val="auto"/>
                <w:sz w:val="24"/>
                <w:szCs w:val="24"/>
                <w:highlight w:val="none"/>
                <w:lang w:val="en-US" w:eastAsia="zh-CN"/>
              </w:rPr>
              <w:t>6-10</w:t>
            </w:r>
            <w:r>
              <w:rPr>
                <w:rFonts w:hint="eastAsia" w:ascii="宋体" w:hAnsi="宋体" w:eastAsia="宋体" w:cs="宋体"/>
                <w:bCs/>
                <w:color w:val="auto"/>
                <w:sz w:val="24"/>
                <w:szCs w:val="24"/>
                <w:highlight w:val="none"/>
                <w:lang w:val="en-US" w:eastAsia="zh-CN"/>
              </w:rPr>
              <w:t>分；安全措施内容简略、未从本项目实际情况出发，操作性不高的得1-</w:t>
            </w:r>
            <w:r>
              <w:rPr>
                <w:rFonts w:hint="eastAsia" w:ascii="宋体" w:hAnsi="宋体" w:cs="宋体"/>
                <w:bCs/>
                <w:color w:val="auto"/>
                <w:sz w:val="24"/>
                <w:szCs w:val="24"/>
                <w:highlight w:val="none"/>
                <w:lang w:val="en-US" w:eastAsia="zh-CN"/>
              </w:rPr>
              <w:t>5</w:t>
            </w:r>
            <w:r>
              <w:rPr>
                <w:rFonts w:hint="eastAsia" w:ascii="宋体" w:hAnsi="宋体" w:eastAsia="宋体" w:cs="宋体"/>
                <w:bCs/>
                <w:color w:val="auto"/>
                <w:sz w:val="24"/>
                <w:szCs w:val="24"/>
                <w:highlight w:val="none"/>
                <w:lang w:val="en-US" w:eastAsia="zh-CN"/>
              </w:rPr>
              <w:t>分；未提供</w:t>
            </w:r>
            <w:r>
              <w:rPr>
                <w:rFonts w:hint="eastAsia" w:cs="宋体"/>
                <w:sz w:val="24"/>
              </w:rPr>
              <w:t>相应内容</w:t>
            </w:r>
            <w:r>
              <w:rPr>
                <w:rFonts w:hint="eastAsia" w:ascii="宋体" w:hAnsi="宋体" w:eastAsia="宋体" w:cs="宋体"/>
                <w:bCs/>
                <w:color w:val="auto"/>
                <w:sz w:val="24"/>
                <w:szCs w:val="24"/>
                <w:highlight w:val="none"/>
                <w:lang w:val="en-US" w:eastAsia="zh-CN"/>
              </w:rPr>
              <w:t>不得分。</w:t>
            </w:r>
          </w:p>
        </w:tc>
      </w:tr>
      <w:tr w14:paraId="10B80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center"/>
          </w:tcPr>
          <w:p w14:paraId="79A8C1F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6</w:t>
            </w:r>
          </w:p>
        </w:tc>
        <w:tc>
          <w:tcPr>
            <w:tcW w:w="1385" w:type="dxa"/>
            <w:tcBorders>
              <w:top w:val="single" w:color="auto" w:sz="4" w:space="0"/>
              <w:left w:val="single" w:color="auto" w:sz="4" w:space="0"/>
              <w:bottom w:val="single" w:color="auto" w:sz="4" w:space="0"/>
              <w:right w:val="single" w:color="auto" w:sz="4" w:space="0"/>
            </w:tcBorders>
            <w:noWrap w:val="0"/>
            <w:vAlign w:val="center"/>
          </w:tcPr>
          <w:p w14:paraId="0ABC2D13">
            <w:pPr>
              <w:pStyle w:val="28"/>
              <w:keepNext w:val="0"/>
              <w:keepLines w:val="0"/>
              <w:pageBreakBefore w:val="0"/>
              <w:widowControl w:val="0"/>
              <w:kinsoku/>
              <w:wordWrap/>
              <w:autoSpaceDE/>
              <w:autoSpaceDN/>
              <w:bidi w:val="0"/>
              <w:snapToGrid/>
              <w:spacing w:before="78" w:line="54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工程进度计划措施</w:t>
            </w:r>
          </w:p>
        </w:tc>
        <w:tc>
          <w:tcPr>
            <w:tcW w:w="1202" w:type="dxa"/>
            <w:tcBorders>
              <w:top w:val="single" w:color="auto" w:sz="4" w:space="0"/>
              <w:left w:val="single" w:color="auto" w:sz="4" w:space="0"/>
              <w:bottom w:val="single" w:color="auto" w:sz="4" w:space="0"/>
              <w:right w:val="single" w:color="auto" w:sz="4" w:space="0"/>
            </w:tcBorders>
            <w:noWrap w:val="0"/>
            <w:vAlign w:val="center"/>
          </w:tcPr>
          <w:p w14:paraId="6A17534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分</w:t>
            </w:r>
          </w:p>
        </w:tc>
        <w:tc>
          <w:tcPr>
            <w:tcW w:w="6287" w:type="dxa"/>
            <w:tcBorders>
              <w:top w:val="single" w:color="auto" w:sz="4" w:space="0"/>
              <w:left w:val="single" w:color="auto" w:sz="4" w:space="0"/>
              <w:bottom w:val="single" w:color="auto" w:sz="4" w:space="0"/>
              <w:right w:val="single" w:color="auto" w:sz="4" w:space="0"/>
            </w:tcBorders>
            <w:noWrap w:val="0"/>
            <w:vAlign w:val="top"/>
          </w:tcPr>
          <w:p w14:paraId="2CF8D916">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ascii="宋体" w:hAnsi="宋体" w:cs="宋体"/>
                <w:b/>
                <w:bCs/>
                <w:sz w:val="24"/>
              </w:rPr>
            </w:pPr>
            <w:r>
              <w:rPr>
                <w:rFonts w:hint="eastAsia" w:ascii="宋体" w:hAnsi="宋体" w:cs="宋体"/>
                <w:b/>
                <w:bCs/>
                <w:sz w:val="24"/>
              </w:rPr>
              <w:t>工程进度计划及保障措施</w:t>
            </w:r>
          </w:p>
          <w:p w14:paraId="29A44E6D">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bCs/>
                <w:color w:val="auto"/>
                <w:sz w:val="24"/>
                <w:szCs w:val="24"/>
                <w:highlight w:val="none"/>
                <w:lang w:val="en-US" w:eastAsia="zh-CN"/>
              </w:rPr>
            </w:pPr>
            <w:r>
              <w:rPr>
                <w:rFonts w:hint="eastAsia" w:ascii="宋体" w:hAnsi="宋体" w:cs="宋体"/>
                <w:sz w:val="24"/>
              </w:rPr>
              <w:t>工程进度计划安排科学合理，保障措施内容完整、表述清楚、有针对性、完全满足项目需求的得</w:t>
            </w:r>
            <w:r>
              <w:rPr>
                <w:rFonts w:hint="eastAsia" w:ascii="宋体" w:hAnsi="宋体" w:cs="宋体"/>
                <w:sz w:val="24"/>
                <w:lang w:val="en-US" w:eastAsia="zh-CN"/>
              </w:rPr>
              <w:t>11-15</w:t>
            </w:r>
            <w:r>
              <w:rPr>
                <w:rFonts w:hint="eastAsia" w:ascii="宋体" w:hAnsi="宋体" w:cs="宋体"/>
                <w:sz w:val="24"/>
              </w:rPr>
              <w:t>分；工程进度计划安排合理，符合项目需求，保障措施内容较完整、表述</w:t>
            </w:r>
            <w:r>
              <w:rPr>
                <w:rFonts w:hint="eastAsia" w:ascii="宋体" w:hAnsi="宋体" w:cs="宋体"/>
                <w:sz w:val="24"/>
                <w:lang w:eastAsia="zh-CN"/>
              </w:rPr>
              <w:t>不够详细的</w:t>
            </w:r>
            <w:r>
              <w:rPr>
                <w:rFonts w:hint="eastAsia" w:ascii="宋体" w:hAnsi="宋体" w:cs="宋体"/>
                <w:sz w:val="24"/>
              </w:rPr>
              <w:t>得</w:t>
            </w:r>
            <w:r>
              <w:rPr>
                <w:rFonts w:hint="eastAsia" w:ascii="宋体" w:hAnsi="宋体" w:cs="宋体"/>
                <w:sz w:val="24"/>
                <w:lang w:val="en-US" w:eastAsia="zh-CN"/>
              </w:rPr>
              <w:t>6-10</w:t>
            </w:r>
            <w:r>
              <w:rPr>
                <w:rFonts w:hint="eastAsia" w:ascii="宋体" w:hAnsi="宋体" w:cs="宋体"/>
                <w:sz w:val="24"/>
              </w:rPr>
              <w:t>分；工程进度计划</w:t>
            </w:r>
            <w:r>
              <w:rPr>
                <w:rFonts w:hint="eastAsia" w:ascii="宋体" w:hAnsi="宋体" w:cs="宋体"/>
                <w:sz w:val="24"/>
                <w:lang w:eastAsia="zh-CN"/>
              </w:rPr>
              <w:t>基本符合</w:t>
            </w:r>
            <w:r>
              <w:rPr>
                <w:rFonts w:hint="eastAsia" w:ascii="宋体" w:hAnsi="宋体" w:cs="宋体"/>
                <w:sz w:val="24"/>
              </w:rPr>
              <w:t>项目需求，</w:t>
            </w:r>
            <w:r>
              <w:rPr>
                <w:rFonts w:hint="eastAsia" w:ascii="宋体" w:hAnsi="宋体" w:cs="宋体"/>
                <w:sz w:val="24"/>
                <w:lang w:eastAsia="zh-CN"/>
              </w:rPr>
              <w:t>但</w:t>
            </w:r>
            <w:r>
              <w:rPr>
                <w:rFonts w:hint="eastAsia" w:ascii="宋体" w:hAnsi="宋体" w:cs="宋体"/>
                <w:sz w:val="24"/>
              </w:rPr>
              <w:t>保障措施内容</w:t>
            </w:r>
            <w:r>
              <w:rPr>
                <w:rFonts w:hint="eastAsia" w:ascii="宋体" w:hAnsi="宋体" w:cs="宋体"/>
                <w:sz w:val="24"/>
                <w:lang w:eastAsia="zh-CN"/>
              </w:rPr>
              <w:t>不</w:t>
            </w:r>
            <w:r>
              <w:rPr>
                <w:rFonts w:hint="eastAsia" w:ascii="宋体" w:hAnsi="宋体" w:cs="宋体"/>
                <w:sz w:val="24"/>
              </w:rPr>
              <w:t>完整的得1</w:t>
            </w:r>
            <w:r>
              <w:rPr>
                <w:rFonts w:hint="eastAsia" w:ascii="宋体" w:hAnsi="宋体" w:cs="宋体"/>
                <w:sz w:val="24"/>
                <w:lang w:val="en-US" w:eastAsia="zh-CN"/>
              </w:rPr>
              <w:t>-5</w:t>
            </w:r>
            <w:r>
              <w:rPr>
                <w:rFonts w:hint="eastAsia" w:ascii="宋体" w:hAnsi="宋体" w:cs="宋体"/>
                <w:sz w:val="24"/>
              </w:rPr>
              <w:t>分；</w:t>
            </w:r>
            <w:r>
              <w:rPr>
                <w:rFonts w:hint="eastAsia" w:cs="宋体"/>
                <w:sz w:val="24"/>
              </w:rPr>
              <w:t>未提供相应内容不得分。</w:t>
            </w:r>
          </w:p>
        </w:tc>
      </w:tr>
      <w:tr w14:paraId="3A59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center"/>
          </w:tcPr>
          <w:p w14:paraId="6F411C1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7</w:t>
            </w:r>
          </w:p>
        </w:tc>
        <w:tc>
          <w:tcPr>
            <w:tcW w:w="1385" w:type="dxa"/>
            <w:tcBorders>
              <w:top w:val="single" w:color="auto" w:sz="4" w:space="0"/>
              <w:left w:val="single" w:color="auto" w:sz="4" w:space="0"/>
              <w:bottom w:val="single" w:color="auto" w:sz="4" w:space="0"/>
              <w:right w:val="single" w:color="auto" w:sz="4" w:space="0"/>
            </w:tcBorders>
            <w:noWrap w:val="0"/>
            <w:vAlign w:val="center"/>
          </w:tcPr>
          <w:p w14:paraId="33DED8B0">
            <w:pPr>
              <w:keepNext w:val="0"/>
              <w:keepLines w:val="0"/>
              <w:pageBreakBefore w:val="0"/>
              <w:kinsoku/>
              <w:wordWrap/>
              <w:autoSpaceDE w:val="0"/>
              <w:autoSpaceDN w:val="0"/>
              <w:bidi w:val="0"/>
              <w:adjustRightInd w:val="0"/>
              <w:snapToGrid/>
              <w:spacing w:line="54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bidi="ar-SA"/>
              </w:rPr>
              <w:t>施工质量及售后承诺</w:t>
            </w:r>
          </w:p>
        </w:tc>
        <w:tc>
          <w:tcPr>
            <w:tcW w:w="1202" w:type="dxa"/>
            <w:tcBorders>
              <w:top w:val="single" w:color="auto" w:sz="4" w:space="0"/>
              <w:left w:val="single" w:color="auto" w:sz="4" w:space="0"/>
              <w:bottom w:val="single" w:color="auto" w:sz="4" w:space="0"/>
              <w:right w:val="single" w:color="auto" w:sz="4" w:space="0"/>
            </w:tcBorders>
            <w:noWrap w:val="0"/>
            <w:vAlign w:val="center"/>
          </w:tcPr>
          <w:p w14:paraId="65F36CCE">
            <w:pPr>
              <w:keepNext w:val="0"/>
              <w:keepLines w:val="0"/>
              <w:pageBreakBefore w:val="0"/>
              <w:kinsoku/>
              <w:wordWrap/>
              <w:autoSpaceDE w:val="0"/>
              <w:autoSpaceDN w:val="0"/>
              <w:bidi w:val="0"/>
              <w:adjustRightInd w:val="0"/>
              <w:snapToGrid/>
              <w:spacing w:line="5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bidi="ar-SA"/>
              </w:rPr>
              <w:t>10分</w:t>
            </w:r>
          </w:p>
        </w:tc>
        <w:tc>
          <w:tcPr>
            <w:tcW w:w="6287" w:type="dxa"/>
            <w:tcBorders>
              <w:top w:val="single" w:color="auto" w:sz="4" w:space="0"/>
              <w:left w:val="single" w:color="auto" w:sz="4" w:space="0"/>
              <w:bottom w:val="single" w:color="auto" w:sz="4" w:space="0"/>
              <w:right w:val="single" w:color="auto" w:sz="4" w:space="0"/>
            </w:tcBorders>
            <w:noWrap w:val="0"/>
            <w:vAlign w:val="top"/>
          </w:tcPr>
          <w:p w14:paraId="7DEFD940">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sz w:val="24"/>
                <w:szCs w:val="24"/>
              </w:rPr>
            </w:pPr>
            <w:r>
              <w:rPr>
                <w:rFonts w:hint="eastAsia" w:ascii="宋体" w:hAnsi="宋体" w:eastAsia="宋体" w:cs="宋体"/>
                <w:sz w:val="24"/>
                <w:szCs w:val="24"/>
              </w:rPr>
              <w:t>根据供应商提供对本项目的售后服务方案、售后服务承诺情况（包含但不限定于保修承诺、维修速度及能力、响应时间、保修范围等情况）进行打分：</w:t>
            </w:r>
          </w:p>
          <w:p w14:paraId="5B6E422D">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sz w:val="24"/>
                <w:szCs w:val="24"/>
              </w:rPr>
            </w:pPr>
            <w:r>
              <w:rPr>
                <w:rFonts w:hint="eastAsia" w:ascii="宋体" w:hAnsi="宋体" w:eastAsia="宋体" w:cs="宋体"/>
                <w:sz w:val="24"/>
                <w:szCs w:val="24"/>
              </w:rPr>
              <w:t>保修服务内容表述细致、完整，保修承诺具体，响应时间迅速，保修范围明确，有明确的保修违约经济处罚金额，能完全满足采购人需求的得</w:t>
            </w:r>
            <w:r>
              <w:rPr>
                <w:rFonts w:hint="eastAsia" w:ascii="宋体" w:hAnsi="宋体" w:eastAsia="宋体" w:cs="宋体"/>
                <w:sz w:val="24"/>
                <w:szCs w:val="24"/>
                <w:lang w:val="en-US" w:eastAsia="zh-CN"/>
              </w:rPr>
              <w:t>7-10</w:t>
            </w:r>
            <w:r>
              <w:rPr>
                <w:rFonts w:hint="eastAsia" w:ascii="宋体" w:hAnsi="宋体" w:eastAsia="宋体" w:cs="宋体"/>
                <w:sz w:val="24"/>
                <w:szCs w:val="24"/>
              </w:rPr>
              <w:t>分；服务方案合理，有保修承诺，响应时间较快，保修范围较明确的得</w:t>
            </w:r>
            <w:r>
              <w:rPr>
                <w:rFonts w:hint="eastAsia" w:ascii="宋体" w:hAnsi="宋体" w:eastAsia="宋体" w:cs="宋体"/>
                <w:sz w:val="24"/>
                <w:szCs w:val="24"/>
                <w:lang w:val="en-US" w:eastAsia="zh-CN"/>
              </w:rPr>
              <w:t>4-6</w:t>
            </w:r>
            <w:r>
              <w:rPr>
                <w:rFonts w:hint="eastAsia" w:ascii="宋体" w:hAnsi="宋体" w:eastAsia="宋体" w:cs="宋体"/>
                <w:sz w:val="24"/>
                <w:szCs w:val="24"/>
              </w:rPr>
              <w:t>分；</w:t>
            </w:r>
          </w:p>
          <w:p w14:paraId="43C9E6AD">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sz w:val="24"/>
                <w:szCs w:val="24"/>
              </w:rPr>
              <w:t>服务方案不</w:t>
            </w:r>
            <w:r>
              <w:rPr>
                <w:rFonts w:hint="eastAsia" w:ascii="宋体" w:hAnsi="宋体" w:eastAsia="宋体" w:cs="宋体"/>
                <w:sz w:val="24"/>
                <w:szCs w:val="24"/>
                <w:lang w:eastAsia="zh-CN"/>
              </w:rPr>
              <w:t>够</w:t>
            </w:r>
            <w:r>
              <w:rPr>
                <w:rFonts w:hint="eastAsia" w:ascii="宋体" w:hAnsi="宋体" w:eastAsia="宋体" w:cs="宋体"/>
                <w:sz w:val="24"/>
                <w:szCs w:val="24"/>
              </w:rPr>
              <w:t>合理，没有保修承诺，响应时间慢，保修范围不明确的得</w:t>
            </w:r>
            <w:r>
              <w:rPr>
                <w:rFonts w:hint="eastAsia" w:ascii="宋体" w:hAnsi="宋体" w:eastAsia="宋体" w:cs="宋体"/>
                <w:sz w:val="24"/>
                <w:szCs w:val="24"/>
                <w:lang w:val="en-US" w:eastAsia="zh-CN"/>
              </w:rPr>
              <w:t>1-3</w:t>
            </w:r>
            <w:r>
              <w:rPr>
                <w:rFonts w:hint="eastAsia" w:ascii="宋体" w:hAnsi="宋体" w:eastAsia="宋体" w:cs="宋体"/>
                <w:sz w:val="24"/>
                <w:szCs w:val="24"/>
              </w:rPr>
              <w:t>分；未提供</w:t>
            </w:r>
            <w:r>
              <w:rPr>
                <w:rFonts w:hint="eastAsia" w:cs="宋体"/>
                <w:sz w:val="24"/>
              </w:rPr>
              <w:t>相应内容</w:t>
            </w:r>
            <w:r>
              <w:rPr>
                <w:rFonts w:hint="eastAsia" w:ascii="宋体" w:hAnsi="宋体" w:eastAsia="宋体" w:cs="宋体"/>
                <w:sz w:val="24"/>
                <w:szCs w:val="24"/>
              </w:rPr>
              <w:t>不得分</w:t>
            </w:r>
            <w:r>
              <w:rPr>
                <w:rFonts w:hint="eastAsia" w:ascii="宋体" w:hAnsi="宋体" w:cs="宋体"/>
                <w:sz w:val="24"/>
                <w:szCs w:val="24"/>
                <w:lang w:eastAsia="zh-CN"/>
              </w:rPr>
              <w:t>。</w:t>
            </w:r>
          </w:p>
        </w:tc>
      </w:tr>
      <w:tr w14:paraId="18474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center"/>
          </w:tcPr>
          <w:p w14:paraId="5F22E94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8</w:t>
            </w:r>
          </w:p>
        </w:tc>
        <w:tc>
          <w:tcPr>
            <w:tcW w:w="1385" w:type="dxa"/>
            <w:tcBorders>
              <w:top w:val="single" w:color="auto" w:sz="4" w:space="0"/>
              <w:left w:val="single" w:color="auto" w:sz="4" w:space="0"/>
              <w:bottom w:val="single" w:color="auto" w:sz="4" w:space="0"/>
              <w:right w:val="single" w:color="auto" w:sz="4" w:space="0"/>
            </w:tcBorders>
            <w:noWrap w:val="0"/>
            <w:vAlign w:val="center"/>
          </w:tcPr>
          <w:p w14:paraId="2EB2C589">
            <w:pPr>
              <w:keepNext w:val="0"/>
              <w:keepLines w:val="0"/>
              <w:pageBreakBefore w:val="0"/>
              <w:widowControl w:val="0"/>
              <w:kinsoku/>
              <w:wordWrap/>
              <w:overflowPunct w:val="0"/>
              <w:topLinePunct/>
              <w:autoSpaceDE/>
              <w:autoSpaceDN/>
              <w:bidi w:val="0"/>
              <w:adjustRightInd/>
              <w:snapToGrid/>
              <w:spacing w:line="540" w:lineRule="exact"/>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sz w:val="24"/>
                <w:szCs w:val="24"/>
              </w:rPr>
              <w:t>项目管理机构</w:t>
            </w:r>
          </w:p>
        </w:tc>
        <w:tc>
          <w:tcPr>
            <w:tcW w:w="1202" w:type="dxa"/>
            <w:tcBorders>
              <w:top w:val="single" w:color="auto" w:sz="4" w:space="0"/>
              <w:left w:val="single" w:color="auto" w:sz="4" w:space="0"/>
              <w:bottom w:val="single" w:color="auto" w:sz="4" w:space="0"/>
              <w:right w:val="single" w:color="auto" w:sz="4" w:space="0"/>
            </w:tcBorders>
            <w:noWrap w:val="0"/>
            <w:vAlign w:val="center"/>
          </w:tcPr>
          <w:p w14:paraId="4D352ECE">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5分</w:t>
            </w:r>
          </w:p>
        </w:tc>
        <w:tc>
          <w:tcPr>
            <w:tcW w:w="6287" w:type="dxa"/>
            <w:tcBorders>
              <w:top w:val="single" w:color="auto" w:sz="4" w:space="0"/>
              <w:left w:val="single" w:color="auto" w:sz="4" w:space="0"/>
              <w:bottom w:val="single" w:color="auto" w:sz="4" w:space="0"/>
              <w:right w:val="single" w:color="auto" w:sz="4" w:space="0"/>
            </w:tcBorders>
            <w:noWrap w:val="0"/>
            <w:vAlign w:val="center"/>
          </w:tcPr>
          <w:p w14:paraId="4809BAEC">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至少提供技术负责人1名、</w:t>
            </w:r>
            <w:r>
              <w:rPr>
                <w:rFonts w:hint="eastAsia" w:ascii="宋体" w:hAnsi="宋体" w:eastAsia="宋体" w:cs="宋体"/>
                <w:sz w:val="24"/>
                <w:szCs w:val="24"/>
              </w:rPr>
              <w:t>施工员</w:t>
            </w:r>
            <w:r>
              <w:rPr>
                <w:rFonts w:hint="eastAsia" w:ascii="宋体" w:hAnsi="宋体" w:eastAsia="宋体" w:cs="宋体"/>
                <w:sz w:val="24"/>
                <w:szCs w:val="24"/>
                <w:lang w:val="en-US" w:eastAsia="zh-CN"/>
              </w:rPr>
              <w:t>1</w:t>
            </w:r>
            <w:r>
              <w:rPr>
                <w:rFonts w:hint="eastAsia" w:ascii="宋体" w:hAnsi="宋体" w:eastAsia="宋体" w:cs="宋体"/>
                <w:sz w:val="24"/>
                <w:szCs w:val="24"/>
              </w:rPr>
              <w:t>名</w:t>
            </w:r>
            <w:r>
              <w:rPr>
                <w:rFonts w:hint="eastAsia" w:ascii="宋体" w:hAnsi="宋体" w:eastAsia="宋体" w:cs="宋体"/>
                <w:sz w:val="24"/>
                <w:szCs w:val="24"/>
                <w:lang w:eastAsia="zh-CN"/>
              </w:rPr>
              <w:t>、</w:t>
            </w:r>
            <w:r>
              <w:rPr>
                <w:rFonts w:hint="eastAsia" w:ascii="宋体" w:hAnsi="宋体" w:eastAsia="宋体" w:cs="宋体"/>
                <w:sz w:val="24"/>
                <w:szCs w:val="24"/>
              </w:rPr>
              <w:t>专职安全员</w:t>
            </w:r>
            <w:r>
              <w:rPr>
                <w:rFonts w:hint="eastAsia" w:ascii="宋体" w:hAnsi="宋体" w:eastAsia="宋体" w:cs="宋体"/>
                <w:sz w:val="24"/>
                <w:szCs w:val="24"/>
                <w:lang w:val="en-US" w:eastAsia="zh-CN"/>
              </w:rPr>
              <w:t>1名。</w:t>
            </w:r>
          </w:p>
          <w:p w14:paraId="7AF67FA5">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满足以上要求的得3分，每多提供一人得1分，满分5分。</w:t>
            </w:r>
          </w:p>
        </w:tc>
      </w:tr>
    </w:tbl>
    <w:p w14:paraId="5561EC4F">
      <w:pPr>
        <w:pStyle w:val="16"/>
        <w:keepNext w:val="0"/>
        <w:keepLines w:val="0"/>
        <w:pageBreakBefore w:val="0"/>
        <w:widowControl/>
        <w:suppressLineNumbers w:val="0"/>
        <w:kinsoku/>
        <w:wordWrap/>
        <w:overflowPunct/>
        <w:topLinePunct/>
        <w:autoSpaceDE/>
        <w:autoSpaceDN/>
        <w:bidi w:val="0"/>
        <w:adjustRightInd/>
        <w:snapToGrid/>
        <w:spacing w:before="0" w:beforeLines="0" w:beforeAutospacing="0" w:after="0" w:afterLines="0" w:afterAutospacing="0" w:line="560" w:lineRule="exact"/>
        <w:ind w:right="0" w:rightChars="0"/>
        <w:textAlignment w:val="auto"/>
        <w:rPr>
          <w:rFonts w:hint="eastAsia" w:ascii="黑体" w:hAnsi="黑体" w:eastAsia="黑体" w:cs="黑体"/>
          <w:sz w:val="32"/>
          <w:szCs w:val="32"/>
          <w:lang w:eastAsia="zh-CN"/>
        </w:rPr>
      </w:pPr>
    </w:p>
    <w:p w14:paraId="309626E0">
      <w:pPr>
        <w:pStyle w:val="16"/>
        <w:keepNext w:val="0"/>
        <w:keepLines w:val="0"/>
        <w:pageBreakBefore w:val="0"/>
        <w:widowControl/>
        <w:suppressLineNumbers w:val="0"/>
        <w:kinsoku/>
        <w:wordWrap/>
        <w:overflowPunct/>
        <w:topLinePunct/>
        <w:autoSpaceDE/>
        <w:autoSpaceDN/>
        <w:bidi w:val="0"/>
        <w:adjustRightInd/>
        <w:snapToGrid/>
        <w:spacing w:before="0" w:beforeLines="0" w:beforeAutospacing="0" w:after="0" w:afterLines="0" w:afterAutospacing="0" w:line="560" w:lineRule="exact"/>
        <w:ind w:right="0" w:rightChars="0"/>
        <w:textAlignment w:val="auto"/>
        <w:rPr>
          <w:rFonts w:hint="eastAsia" w:ascii="黑体" w:hAnsi="黑体" w:eastAsia="黑体" w:cs="黑体"/>
          <w:sz w:val="32"/>
          <w:szCs w:val="32"/>
          <w:lang w:eastAsia="zh-CN"/>
        </w:rPr>
      </w:pPr>
    </w:p>
    <w:p w14:paraId="01CA14B2">
      <w:pPr>
        <w:pStyle w:val="16"/>
        <w:keepNext w:val="0"/>
        <w:keepLines w:val="0"/>
        <w:pageBreakBefore w:val="0"/>
        <w:widowControl/>
        <w:suppressLineNumbers w:val="0"/>
        <w:kinsoku/>
        <w:wordWrap/>
        <w:overflowPunct/>
        <w:topLinePunct/>
        <w:autoSpaceDE/>
        <w:autoSpaceDN/>
        <w:bidi w:val="0"/>
        <w:adjustRightInd/>
        <w:snapToGrid/>
        <w:spacing w:before="0" w:beforeLines="0" w:beforeAutospacing="0" w:after="0" w:afterLines="0" w:afterAutospacing="0" w:line="560" w:lineRule="exact"/>
        <w:ind w:right="0" w:rightChars="0"/>
        <w:textAlignment w:val="auto"/>
        <w:rPr>
          <w:rFonts w:hint="eastAsia" w:ascii="黑体" w:hAnsi="黑体" w:eastAsia="黑体" w:cs="黑体"/>
          <w:sz w:val="32"/>
          <w:szCs w:val="32"/>
          <w:lang w:eastAsia="zh-CN"/>
        </w:rPr>
      </w:pPr>
    </w:p>
    <w:p w14:paraId="0EA7F360">
      <w:pPr>
        <w:pStyle w:val="16"/>
        <w:keepNext w:val="0"/>
        <w:keepLines w:val="0"/>
        <w:pageBreakBefore w:val="0"/>
        <w:widowControl/>
        <w:suppressLineNumbers w:val="0"/>
        <w:kinsoku/>
        <w:wordWrap/>
        <w:overflowPunct/>
        <w:topLinePunct/>
        <w:autoSpaceDE/>
        <w:autoSpaceDN/>
        <w:bidi w:val="0"/>
        <w:adjustRightInd/>
        <w:snapToGrid/>
        <w:spacing w:before="0" w:beforeLines="0" w:beforeAutospacing="0" w:after="0" w:afterLines="0" w:afterAutospacing="0" w:line="560" w:lineRule="exact"/>
        <w:ind w:right="0" w:rightChars="0"/>
        <w:textAlignment w:val="auto"/>
        <w:rPr>
          <w:rFonts w:hint="eastAsia" w:ascii="黑体" w:hAnsi="黑体" w:eastAsia="黑体" w:cs="黑体"/>
          <w:sz w:val="32"/>
          <w:szCs w:val="32"/>
          <w:lang w:eastAsia="zh-CN"/>
        </w:rPr>
      </w:pPr>
    </w:p>
    <w:p w14:paraId="05147DF3">
      <w:pPr>
        <w:pStyle w:val="16"/>
        <w:keepNext w:val="0"/>
        <w:keepLines w:val="0"/>
        <w:pageBreakBefore w:val="0"/>
        <w:widowControl/>
        <w:suppressLineNumbers w:val="0"/>
        <w:kinsoku/>
        <w:wordWrap/>
        <w:overflowPunct/>
        <w:topLinePunct/>
        <w:autoSpaceDE/>
        <w:autoSpaceDN/>
        <w:bidi w:val="0"/>
        <w:adjustRightInd/>
        <w:snapToGrid/>
        <w:spacing w:before="0" w:beforeLines="0" w:beforeAutospacing="0" w:after="0" w:afterLines="0" w:afterAutospacing="0" w:line="560" w:lineRule="exact"/>
        <w:ind w:right="0" w:rightChars="0"/>
        <w:textAlignment w:val="auto"/>
        <w:rPr>
          <w:rFonts w:hint="eastAsia" w:ascii="黑体" w:hAnsi="黑体" w:eastAsia="黑体" w:cs="黑体"/>
          <w:sz w:val="32"/>
          <w:szCs w:val="32"/>
          <w:lang w:eastAsia="zh-CN"/>
        </w:rPr>
      </w:pPr>
    </w:p>
    <w:p w14:paraId="5C1D1BDE">
      <w:pPr>
        <w:pStyle w:val="16"/>
        <w:keepNext w:val="0"/>
        <w:keepLines w:val="0"/>
        <w:pageBreakBefore w:val="0"/>
        <w:widowControl/>
        <w:suppressLineNumbers w:val="0"/>
        <w:kinsoku/>
        <w:wordWrap/>
        <w:overflowPunct/>
        <w:topLinePunct/>
        <w:autoSpaceDE/>
        <w:autoSpaceDN/>
        <w:bidi w:val="0"/>
        <w:adjustRightInd/>
        <w:snapToGrid/>
        <w:spacing w:before="0" w:beforeLines="0" w:beforeAutospacing="0" w:after="0" w:afterLines="0" w:afterAutospacing="0" w:line="560" w:lineRule="exact"/>
        <w:ind w:right="0" w:rightChars="0"/>
        <w:textAlignment w:val="auto"/>
        <w:rPr>
          <w:rFonts w:hint="eastAsia" w:ascii="黑体" w:hAnsi="黑体" w:eastAsia="黑体" w:cs="黑体"/>
          <w:sz w:val="32"/>
          <w:szCs w:val="32"/>
          <w:lang w:eastAsia="zh-CN"/>
        </w:rPr>
      </w:pPr>
    </w:p>
    <w:p w14:paraId="26D0FB73">
      <w:pPr>
        <w:pStyle w:val="16"/>
        <w:keepNext w:val="0"/>
        <w:keepLines w:val="0"/>
        <w:pageBreakBefore w:val="0"/>
        <w:widowControl/>
        <w:suppressLineNumbers w:val="0"/>
        <w:kinsoku/>
        <w:wordWrap/>
        <w:overflowPunct/>
        <w:topLinePunct/>
        <w:autoSpaceDE/>
        <w:autoSpaceDN/>
        <w:bidi w:val="0"/>
        <w:adjustRightInd/>
        <w:snapToGrid/>
        <w:spacing w:before="0" w:beforeLines="0" w:beforeAutospacing="0" w:after="0" w:afterLines="0" w:afterAutospacing="0" w:line="560" w:lineRule="exact"/>
        <w:ind w:right="0" w:rightChars="0"/>
        <w:textAlignment w:val="auto"/>
        <w:rPr>
          <w:rFonts w:hint="eastAsia" w:ascii="黑体" w:hAnsi="黑体" w:eastAsia="黑体" w:cs="黑体"/>
          <w:sz w:val="32"/>
          <w:szCs w:val="32"/>
          <w:lang w:eastAsia="zh-CN"/>
        </w:rPr>
      </w:pPr>
    </w:p>
    <w:p w14:paraId="5A96170E">
      <w:pPr>
        <w:pStyle w:val="16"/>
        <w:keepNext w:val="0"/>
        <w:keepLines w:val="0"/>
        <w:pageBreakBefore w:val="0"/>
        <w:widowControl/>
        <w:suppressLineNumbers w:val="0"/>
        <w:kinsoku/>
        <w:wordWrap/>
        <w:overflowPunct/>
        <w:topLinePunct/>
        <w:autoSpaceDE/>
        <w:autoSpaceDN/>
        <w:bidi w:val="0"/>
        <w:adjustRightInd/>
        <w:snapToGrid/>
        <w:spacing w:before="0" w:beforeLines="0" w:beforeAutospacing="0" w:after="0" w:afterLines="0" w:afterAutospacing="0" w:line="560" w:lineRule="exact"/>
        <w:ind w:right="0" w:rightChars="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4806FD8F">
      <w:pPr>
        <w:keepNext w:val="0"/>
        <w:keepLines w:val="0"/>
        <w:pageBreakBefore w:val="0"/>
        <w:widowControl w:val="0"/>
        <w:kinsoku/>
        <w:wordWrap/>
        <w:overflowPunct/>
        <w:topLinePunct w:val="0"/>
        <w:autoSpaceDE/>
        <w:autoSpaceDN/>
        <w:bidi w:val="0"/>
        <w:adjustRightInd/>
        <w:snapToGrid/>
        <w:spacing w:line="560" w:lineRule="exact"/>
        <w:ind w:firstLine="720" w:firstLineChars="200"/>
        <w:jc w:val="center"/>
        <w:textAlignment w:val="auto"/>
        <w:rPr>
          <w:rFonts w:hint="eastAsia" w:ascii="方正小标宋简体" w:hAnsi="方正小标宋简体" w:eastAsia="方正小标宋简体" w:cs="方正小标宋简体"/>
          <w:color w:val="auto"/>
          <w:sz w:val="36"/>
          <w:szCs w:val="36"/>
          <w:highlight w:val="none"/>
          <w:shd w:val="clear" w:color="auto" w:fill="FFFFFF"/>
          <w:lang w:val="en-US" w:eastAsia="zh-CN"/>
        </w:rPr>
      </w:pPr>
      <w:r>
        <w:rPr>
          <w:rFonts w:hint="eastAsia" w:ascii="方正小标宋简体" w:hAnsi="方正小标宋简体" w:eastAsia="方正小标宋简体" w:cs="方正小标宋简体"/>
          <w:sz w:val="36"/>
          <w:szCs w:val="36"/>
          <w:lang w:val="en-US" w:eastAsia="zh-CN"/>
        </w:rPr>
        <w:t>二标段自治区总工会数据赋能中心升级</w:t>
      </w:r>
      <w:r>
        <w:rPr>
          <w:rFonts w:hint="eastAsia" w:ascii="方正小标宋简体" w:hAnsi="方正小标宋简体" w:eastAsia="方正小标宋简体" w:cs="方正小标宋简体"/>
          <w:color w:val="auto"/>
          <w:sz w:val="36"/>
          <w:szCs w:val="36"/>
          <w:highlight w:val="none"/>
          <w:shd w:val="clear" w:color="auto" w:fill="FFFFFF"/>
          <w:lang w:val="en-US" w:eastAsia="zh-CN"/>
        </w:rPr>
        <w:t>评分表</w:t>
      </w:r>
    </w:p>
    <w:tbl>
      <w:tblPr>
        <w:tblStyle w:val="20"/>
        <w:tblpPr w:leftFromText="180" w:rightFromText="180" w:vertAnchor="text" w:horzAnchor="page" w:tblpX="1605" w:tblpY="503"/>
        <w:tblOverlap w:val="never"/>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1217"/>
        <w:gridCol w:w="964"/>
        <w:gridCol w:w="6331"/>
      </w:tblGrid>
      <w:tr w14:paraId="0E20A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843" w:type="dxa"/>
            <w:tcBorders>
              <w:top w:val="single" w:color="auto" w:sz="4" w:space="0"/>
              <w:left w:val="single" w:color="auto" w:sz="4" w:space="0"/>
              <w:bottom w:val="single" w:color="auto" w:sz="4" w:space="0"/>
              <w:right w:val="single" w:color="auto" w:sz="4" w:space="0"/>
            </w:tcBorders>
            <w:noWrap w:val="0"/>
            <w:vAlign w:val="bottom"/>
          </w:tcPr>
          <w:p w14:paraId="7E079E67">
            <w:pPr>
              <w:keepNext w:val="0"/>
              <w:keepLines w:val="0"/>
              <w:pageBreakBefore w:val="0"/>
              <w:kinsoku/>
              <w:wordWrap/>
              <w:overflowPunct/>
              <w:topLinePunct/>
              <w:autoSpaceDE/>
              <w:autoSpaceDN/>
              <w:bidi w:val="0"/>
              <w:adjustRightInd/>
              <w:spacing w:line="288" w:lineRule="auto"/>
              <w:jc w:val="center"/>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序号</w:t>
            </w:r>
          </w:p>
        </w:tc>
        <w:tc>
          <w:tcPr>
            <w:tcW w:w="1217" w:type="dxa"/>
            <w:tcBorders>
              <w:top w:val="single" w:color="auto" w:sz="4" w:space="0"/>
              <w:left w:val="single" w:color="auto" w:sz="4" w:space="0"/>
              <w:bottom w:val="single" w:color="auto" w:sz="4" w:space="0"/>
              <w:right w:val="single" w:color="auto" w:sz="4" w:space="0"/>
            </w:tcBorders>
            <w:noWrap w:val="0"/>
            <w:vAlign w:val="bottom"/>
          </w:tcPr>
          <w:p w14:paraId="6446D2AD">
            <w:pPr>
              <w:keepNext w:val="0"/>
              <w:keepLines w:val="0"/>
              <w:pageBreakBefore w:val="0"/>
              <w:kinsoku/>
              <w:wordWrap/>
              <w:overflowPunct/>
              <w:topLinePunct/>
              <w:autoSpaceDE/>
              <w:autoSpaceDN/>
              <w:bidi w:val="0"/>
              <w:adjustRightInd/>
              <w:spacing w:line="288" w:lineRule="auto"/>
              <w:jc w:val="center"/>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评审项目</w:t>
            </w:r>
          </w:p>
        </w:tc>
        <w:tc>
          <w:tcPr>
            <w:tcW w:w="964" w:type="dxa"/>
            <w:tcBorders>
              <w:top w:val="single" w:color="auto" w:sz="4" w:space="0"/>
              <w:left w:val="single" w:color="auto" w:sz="4" w:space="0"/>
              <w:bottom w:val="single" w:color="auto" w:sz="4" w:space="0"/>
              <w:right w:val="single" w:color="auto" w:sz="4" w:space="0"/>
            </w:tcBorders>
            <w:noWrap w:val="0"/>
            <w:vAlign w:val="bottom"/>
          </w:tcPr>
          <w:p w14:paraId="184600A7">
            <w:pPr>
              <w:keepNext w:val="0"/>
              <w:keepLines w:val="0"/>
              <w:pageBreakBefore w:val="0"/>
              <w:kinsoku/>
              <w:wordWrap/>
              <w:overflowPunct/>
              <w:topLinePunct/>
              <w:autoSpaceDE/>
              <w:autoSpaceDN/>
              <w:bidi w:val="0"/>
              <w:adjustRightInd/>
              <w:spacing w:line="288" w:lineRule="auto"/>
              <w:jc w:val="center"/>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标准分</w:t>
            </w:r>
          </w:p>
        </w:tc>
        <w:tc>
          <w:tcPr>
            <w:tcW w:w="6331" w:type="dxa"/>
            <w:tcBorders>
              <w:top w:val="single" w:color="auto" w:sz="4" w:space="0"/>
              <w:left w:val="single" w:color="auto" w:sz="4" w:space="0"/>
              <w:bottom w:val="single" w:color="auto" w:sz="4" w:space="0"/>
              <w:right w:val="single" w:color="auto" w:sz="4" w:space="0"/>
            </w:tcBorders>
            <w:noWrap w:val="0"/>
            <w:vAlign w:val="bottom"/>
          </w:tcPr>
          <w:p w14:paraId="55D303B1">
            <w:pPr>
              <w:keepNext w:val="0"/>
              <w:keepLines w:val="0"/>
              <w:pageBreakBefore w:val="0"/>
              <w:kinsoku/>
              <w:wordWrap/>
              <w:overflowPunct/>
              <w:topLinePunct/>
              <w:autoSpaceDE/>
              <w:autoSpaceDN/>
              <w:bidi w:val="0"/>
              <w:adjustRightInd/>
              <w:spacing w:line="288" w:lineRule="auto"/>
              <w:jc w:val="center"/>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评分标准</w:t>
            </w:r>
          </w:p>
        </w:tc>
      </w:tr>
      <w:tr w14:paraId="00F2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trPr>
        <w:tc>
          <w:tcPr>
            <w:tcW w:w="843" w:type="dxa"/>
            <w:tcBorders>
              <w:top w:val="single" w:color="auto" w:sz="4" w:space="0"/>
              <w:left w:val="single" w:color="auto" w:sz="4" w:space="0"/>
              <w:bottom w:val="single" w:color="auto" w:sz="4" w:space="0"/>
              <w:right w:val="single" w:color="auto" w:sz="4" w:space="0"/>
            </w:tcBorders>
            <w:noWrap w:val="0"/>
            <w:vAlign w:val="center"/>
          </w:tcPr>
          <w:p w14:paraId="1ACD55AD">
            <w:pPr>
              <w:keepNext w:val="0"/>
              <w:keepLines w:val="0"/>
              <w:pageBreakBefore w:val="0"/>
              <w:kinsoku/>
              <w:wordWrap/>
              <w:overflowPunct/>
              <w:topLinePunct/>
              <w:autoSpaceDE/>
              <w:autoSpaceDN/>
              <w:bidi w:val="0"/>
              <w:adjustRightInd/>
              <w:snapToGrid w:val="0"/>
              <w:spacing w:line="288"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47774D26">
            <w:pPr>
              <w:keepNext w:val="0"/>
              <w:keepLines w:val="0"/>
              <w:pageBreakBefore w:val="0"/>
              <w:kinsoku/>
              <w:wordWrap/>
              <w:overflowPunct/>
              <w:topLinePunct w:val="0"/>
              <w:autoSpaceDE/>
              <w:autoSpaceDN/>
              <w:bidi w:val="0"/>
              <w:adjustRightInd/>
              <w:snapToGrid w:val="0"/>
              <w:spacing w:line="288" w:lineRule="auto"/>
              <w:ind w:firstLine="480" w:firstLineChars="200"/>
              <w:jc w:val="center"/>
              <w:textAlignment w:val="auto"/>
              <w:rPr>
                <w:rFonts w:hint="eastAsia" w:ascii="宋体" w:hAnsi="宋体" w:eastAsia="宋体" w:cs="宋体"/>
                <w:color w:val="auto"/>
                <w:sz w:val="24"/>
                <w:szCs w:val="24"/>
              </w:rPr>
            </w:pPr>
          </w:p>
          <w:p w14:paraId="5A052129">
            <w:pPr>
              <w:keepNext w:val="0"/>
              <w:keepLines w:val="0"/>
              <w:pageBreakBefore w:val="0"/>
              <w:kinsoku/>
              <w:wordWrap/>
              <w:overflowPunct/>
              <w:topLinePunct w:val="0"/>
              <w:autoSpaceDE/>
              <w:autoSpaceDN/>
              <w:bidi w:val="0"/>
              <w:adjustRightInd/>
              <w:snapToGrid w:val="0"/>
              <w:spacing w:line="288" w:lineRule="auto"/>
              <w:jc w:val="center"/>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响应</w:t>
            </w:r>
            <w:r>
              <w:rPr>
                <w:rFonts w:hint="eastAsia" w:ascii="宋体" w:hAnsi="宋体" w:eastAsia="宋体" w:cs="宋体"/>
                <w:color w:val="auto"/>
                <w:sz w:val="24"/>
                <w:szCs w:val="24"/>
              </w:rPr>
              <w:t>报价</w:t>
            </w:r>
          </w:p>
          <w:p w14:paraId="784C1EE5">
            <w:pPr>
              <w:keepNext w:val="0"/>
              <w:keepLines w:val="0"/>
              <w:pageBreakBefore w:val="0"/>
              <w:kinsoku/>
              <w:wordWrap/>
              <w:overflowPunct/>
              <w:topLinePunct w:val="0"/>
              <w:autoSpaceDE/>
              <w:autoSpaceDN/>
              <w:bidi w:val="0"/>
              <w:adjustRightInd/>
              <w:snapToGrid w:val="0"/>
              <w:spacing w:line="288" w:lineRule="auto"/>
              <w:ind w:firstLine="480" w:firstLineChars="200"/>
              <w:jc w:val="center"/>
              <w:textAlignment w:val="auto"/>
              <w:rPr>
                <w:rFonts w:hint="eastAsia" w:ascii="宋体" w:hAnsi="宋体" w:eastAsia="宋体" w:cs="宋体"/>
                <w:color w:val="auto"/>
                <w:sz w:val="24"/>
                <w:szCs w:val="24"/>
              </w:rPr>
            </w:pPr>
          </w:p>
        </w:tc>
        <w:tc>
          <w:tcPr>
            <w:tcW w:w="964" w:type="dxa"/>
            <w:tcBorders>
              <w:top w:val="single" w:color="auto" w:sz="4" w:space="0"/>
              <w:left w:val="single" w:color="auto" w:sz="4" w:space="0"/>
              <w:bottom w:val="single" w:color="auto" w:sz="4" w:space="0"/>
              <w:right w:val="single" w:color="auto" w:sz="4" w:space="0"/>
            </w:tcBorders>
            <w:noWrap w:val="0"/>
            <w:vAlign w:val="center"/>
          </w:tcPr>
          <w:p w14:paraId="760793D6">
            <w:pPr>
              <w:keepNext w:val="0"/>
              <w:keepLines w:val="0"/>
              <w:pageBreakBefore w:val="0"/>
              <w:kinsoku/>
              <w:wordWrap/>
              <w:overflowPunct/>
              <w:topLinePunct w:val="0"/>
              <w:autoSpaceDE/>
              <w:autoSpaceDN/>
              <w:bidi w:val="0"/>
              <w:adjustRightInd/>
              <w:snapToGrid w:val="0"/>
              <w:spacing w:line="288"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30</w:t>
            </w:r>
            <w:r>
              <w:rPr>
                <w:rFonts w:hint="eastAsia" w:ascii="宋体" w:hAnsi="宋体" w:eastAsia="宋体" w:cs="宋体"/>
                <w:color w:val="auto"/>
                <w:sz w:val="24"/>
                <w:szCs w:val="24"/>
              </w:rPr>
              <w:t>分</w:t>
            </w:r>
          </w:p>
        </w:tc>
        <w:tc>
          <w:tcPr>
            <w:tcW w:w="6331" w:type="dxa"/>
            <w:tcBorders>
              <w:top w:val="single" w:color="auto" w:sz="4" w:space="0"/>
              <w:left w:val="single" w:color="auto" w:sz="4" w:space="0"/>
              <w:bottom w:val="single" w:color="auto" w:sz="4" w:space="0"/>
              <w:right w:val="single" w:color="auto" w:sz="4" w:space="0"/>
            </w:tcBorders>
            <w:noWrap w:val="0"/>
            <w:vAlign w:val="center"/>
          </w:tcPr>
          <w:p w14:paraId="74AE137E">
            <w:pPr>
              <w:keepNext w:val="0"/>
              <w:keepLines w:val="0"/>
              <w:pageBreakBefore w:val="0"/>
              <w:kinsoku/>
              <w:wordWrap/>
              <w:overflowPunct/>
              <w:topLinePunct w:val="0"/>
              <w:autoSpaceDE/>
              <w:autoSpaceDN/>
              <w:bidi w:val="0"/>
              <w:adjustRightInd/>
              <w:snapToGrid w:val="0"/>
              <w:spacing w:line="288" w:lineRule="auto"/>
              <w:ind w:firstLine="480" w:firstLineChars="200"/>
              <w:textAlignment w:val="auto"/>
              <w:rPr>
                <w:rFonts w:hint="eastAsia" w:ascii="宋体" w:hAnsi="宋体" w:eastAsia="宋体" w:cs="宋体"/>
                <w:color w:val="auto"/>
                <w:sz w:val="24"/>
                <w:szCs w:val="24"/>
                <w:lang w:val="en-US"/>
              </w:rPr>
            </w:pPr>
            <w:r>
              <w:rPr>
                <w:rFonts w:hint="eastAsia" w:ascii="宋体" w:hAnsi="宋体" w:eastAsia="宋体" w:cs="宋体"/>
                <w:b w:val="0"/>
                <w:bCs w:val="0"/>
                <w:i w:val="0"/>
                <w:iCs w:val="0"/>
                <w:color w:val="auto"/>
                <w:sz w:val="24"/>
                <w:szCs w:val="24"/>
                <w:lang w:eastAsia="zh-CN"/>
              </w:rPr>
              <w:t>满足</w:t>
            </w:r>
            <w:r>
              <w:rPr>
                <w:rFonts w:hint="eastAsia" w:ascii="宋体" w:hAnsi="宋体" w:cs="宋体"/>
                <w:b w:val="0"/>
                <w:bCs w:val="0"/>
                <w:i w:val="0"/>
                <w:iCs w:val="0"/>
                <w:color w:val="auto"/>
                <w:sz w:val="24"/>
                <w:szCs w:val="24"/>
                <w:lang w:eastAsia="zh-CN"/>
              </w:rPr>
              <w:t>采购需求</w:t>
            </w:r>
            <w:r>
              <w:rPr>
                <w:rFonts w:hint="eastAsia" w:ascii="宋体" w:hAnsi="宋体" w:eastAsia="宋体" w:cs="宋体"/>
                <w:b w:val="0"/>
                <w:bCs w:val="0"/>
                <w:i w:val="0"/>
                <w:iCs w:val="0"/>
                <w:color w:val="auto"/>
                <w:sz w:val="24"/>
                <w:szCs w:val="24"/>
                <w:lang w:eastAsia="zh-CN"/>
              </w:rPr>
              <w:t>且</w:t>
            </w:r>
            <w:r>
              <w:rPr>
                <w:rFonts w:hint="eastAsia" w:ascii="宋体" w:hAnsi="宋体" w:cs="宋体"/>
                <w:b w:val="0"/>
                <w:bCs w:val="0"/>
                <w:i w:val="0"/>
                <w:iCs w:val="0"/>
                <w:color w:val="auto"/>
                <w:sz w:val="24"/>
                <w:szCs w:val="24"/>
                <w:lang w:eastAsia="zh-CN"/>
              </w:rPr>
              <w:t>响应</w:t>
            </w:r>
            <w:r>
              <w:rPr>
                <w:rFonts w:hint="eastAsia" w:ascii="宋体" w:hAnsi="宋体" w:eastAsia="宋体" w:cs="宋体"/>
                <w:b w:val="0"/>
                <w:bCs w:val="0"/>
                <w:i w:val="0"/>
                <w:iCs w:val="0"/>
                <w:color w:val="auto"/>
                <w:sz w:val="24"/>
                <w:szCs w:val="24"/>
                <w:lang w:eastAsia="zh-CN"/>
              </w:rPr>
              <w:t>价格最低的报价为</w:t>
            </w:r>
            <w:r>
              <w:rPr>
                <w:rFonts w:hint="eastAsia" w:ascii="宋体" w:hAnsi="宋体" w:cs="宋体"/>
                <w:b w:val="0"/>
                <w:bCs w:val="0"/>
                <w:i w:val="0"/>
                <w:iCs w:val="0"/>
                <w:color w:val="auto"/>
                <w:sz w:val="24"/>
                <w:szCs w:val="24"/>
                <w:lang w:eastAsia="zh-CN"/>
              </w:rPr>
              <w:t>响应</w:t>
            </w:r>
            <w:r>
              <w:rPr>
                <w:rFonts w:hint="eastAsia" w:ascii="宋体" w:hAnsi="宋体" w:eastAsia="宋体" w:cs="宋体"/>
                <w:b w:val="0"/>
                <w:bCs w:val="0"/>
                <w:i w:val="0"/>
                <w:iCs w:val="0"/>
                <w:color w:val="auto"/>
                <w:sz w:val="24"/>
                <w:szCs w:val="24"/>
                <w:lang w:eastAsia="zh-CN"/>
              </w:rPr>
              <w:t>基准价，其价格分为满分。其他</w:t>
            </w:r>
            <w:r>
              <w:rPr>
                <w:rFonts w:hint="eastAsia" w:ascii="宋体" w:hAnsi="宋体" w:cs="宋体"/>
                <w:b w:val="0"/>
                <w:bCs w:val="0"/>
                <w:i w:val="0"/>
                <w:iCs w:val="0"/>
                <w:color w:val="auto"/>
                <w:sz w:val="24"/>
                <w:szCs w:val="24"/>
                <w:lang w:eastAsia="zh-CN"/>
              </w:rPr>
              <w:t>供应商</w:t>
            </w:r>
            <w:r>
              <w:rPr>
                <w:rFonts w:hint="eastAsia" w:ascii="宋体" w:hAnsi="宋体" w:eastAsia="宋体" w:cs="宋体"/>
                <w:b w:val="0"/>
                <w:bCs w:val="0"/>
                <w:i w:val="0"/>
                <w:iCs w:val="0"/>
                <w:color w:val="auto"/>
                <w:sz w:val="24"/>
                <w:szCs w:val="24"/>
                <w:lang w:eastAsia="zh-CN"/>
              </w:rPr>
              <w:t>的价格分统一按照下列公式计算：</w:t>
            </w:r>
            <w:r>
              <w:rPr>
                <w:rFonts w:hint="eastAsia" w:ascii="宋体" w:hAnsi="宋体" w:cs="宋体"/>
                <w:b w:val="0"/>
                <w:bCs w:val="0"/>
                <w:i w:val="0"/>
                <w:iCs w:val="0"/>
                <w:color w:val="auto"/>
                <w:sz w:val="24"/>
                <w:szCs w:val="24"/>
                <w:lang w:eastAsia="zh-CN"/>
              </w:rPr>
              <w:t>响应</w:t>
            </w:r>
            <w:r>
              <w:rPr>
                <w:rFonts w:hint="eastAsia" w:ascii="宋体" w:hAnsi="宋体" w:eastAsia="宋体" w:cs="宋体"/>
                <w:b w:val="0"/>
                <w:bCs w:val="0"/>
                <w:i w:val="0"/>
                <w:iCs w:val="0"/>
                <w:color w:val="auto"/>
                <w:sz w:val="24"/>
                <w:szCs w:val="24"/>
                <w:lang w:eastAsia="zh-CN"/>
              </w:rPr>
              <w:t>报价得分＝（</w:t>
            </w:r>
            <w:r>
              <w:rPr>
                <w:rFonts w:hint="eastAsia" w:ascii="宋体" w:hAnsi="宋体" w:cs="宋体"/>
                <w:b w:val="0"/>
                <w:bCs w:val="0"/>
                <w:i w:val="0"/>
                <w:iCs w:val="0"/>
                <w:color w:val="auto"/>
                <w:sz w:val="24"/>
                <w:szCs w:val="24"/>
                <w:lang w:eastAsia="zh-CN"/>
              </w:rPr>
              <w:t>响应</w:t>
            </w:r>
            <w:r>
              <w:rPr>
                <w:rFonts w:hint="eastAsia" w:ascii="宋体" w:hAnsi="宋体" w:eastAsia="宋体" w:cs="宋体"/>
                <w:b w:val="0"/>
                <w:bCs w:val="0"/>
                <w:i w:val="0"/>
                <w:iCs w:val="0"/>
                <w:color w:val="auto"/>
                <w:sz w:val="24"/>
                <w:szCs w:val="24"/>
                <w:lang w:eastAsia="zh-CN"/>
              </w:rPr>
              <w:t>基准价／</w:t>
            </w:r>
            <w:r>
              <w:rPr>
                <w:rFonts w:hint="eastAsia" w:ascii="宋体" w:hAnsi="宋体" w:cs="宋体"/>
                <w:b w:val="0"/>
                <w:bCs w:val="0"/>
                <w:i w:val="0"/>
                <w:iCs w:val="0"/>
                <w:color w:val="auto"/>
                <w:sz w:val="24"/>
                <w:szCs w:val="24"/>
                <w:lang w:eastAsia="zh-CN"/>
              </w:rPr>
              <w:t>响应</w:t>
            </w:r>
            <w:r>
              <w:rPr>
                <w:rFonts w:hint="eastAsia" w:ascii="宋体" w:hAnsi="宋体" w:eastAsia="宋体" w:cs="宋体"/>
                <w:b w:val="0"/>
                <w:bCs w:val="0"/>
                <w:i w:val="0"/>
                <w:iCs w:val="0"/>
                <w:color w:val="auto"/>
                <w:sz w:val="24"/>
                <w:szCs w:val="24"/>
                <w:lang w:eastAsia="zh-CN"/>
              </w:rPr>
              <w:t>报价）x30。</w:t>
            </w:r>
          </w:p>
        </w:tc>
      </w:tr>
      <w:tr w14:paraId="2E69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7" w:hRule="atLeast"/>
        </w:trPr>
        <w:tc>
          <w:tcPr>
            <w:tcW w:w="843" w:type="dxa"/>
            <w:tcBorders>
              <w:top w:val="single" w:color="auto" w:sz="4" w:space="0"/>
              <w:left w:val="single" w:color="auto" w:sz="4" w:space="0"/>
              <w:bottom w:val="single" w:color="auto" w:sz="4" w:space="0"/>
              <w:right w:val="single" w:color="auto" w:sz="4" w:space="0"/>
            </w:tcBorders>
            <w:noWrap w:val="0"/>
            <w:vAlign w:val="center"/>
          </w:tcPr>
          <w:p w14:paraId="3E7E32EB">
            <w:pPr>
              <w:keepNext w:val="0"/>
              <w:keepLines w:val="0"/>
              <w:pageBreakBefore w:val="0"/>
              <w:kinsoku/>
              <w:wordWrap/>
              <w:overflowPunct/>
              <w:topLinePunct/>
              <w:autoSpaceDE/>
              <w:autoSpaceDN/>
              <w:bidi w:val="0"/>
              <w:adjustRightInd/>
              <w:snapToGrid w:val="0"/>
              <w:spacing w:line="288" w:lineRule="auto"/>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5D0A57A7">
            <w:pPr>
              <w:keepNext w:val="0"/>
              <w:keepLines w:val="0"/>
              <w:pageBreakBefore w:val="0"/>
              <w:kinsoku/>
              <w:wordWrap/>
              <w:overflowPunct/>
              <w:topLinePunct w:val="0"/>
              <w:autoSpaceDE/>
              <w:autoSpaceDN/>
              <w:bidi w:val="0"/>
              <w:adjustRightInd/>
              <w:snapToGrid w:val="0"/>
              <w:spacing w:line="288"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技术响应</w:t>
            </w:r>
          </w:p>
        </w:tc>
        <w:tc>
          <w:tcPr>
            <w:tcW w:w="964" w:type="dxa"/>
            <w:tcBorders>
              <w:top w:val="single" w:color="auto" w:sz="4" w:space="0"/>
              <w:left w:val="single" w:color="auto" w:sz="4" w:space="0"/>
              <w:bottom w:val="single" w:color="auto" w:sz="4" w:space="0"/>
              <w:right w:val="single" w:color="auto" w:sz="4" w:space="0"/>
            </w:tcBorders>
            <w:noWrap w:val="0"/>
            <w:vAlign w:val="center"/>
          </w:tcPr>
          <w:p w14:paraId="599D576D">
            <w:pPr>
              <w:keepNext w:val="0"/>
              <w:keepLines w:val="0"/>
              <w:pageBreakBefore w:val="0"/>
              <w:kinsoku/>
              <w:wordWrap/>
              <w:overflowPunct/>
              <w:topLinePunct w:val="0"/>
              <w:autoSpaceDE/>
              <w:autoSpaceDN/>
              <w:bidi w:val="0"/>
              <w:adjustRightInd/>
              <w:snapToGrid w:val="0"/>
              <w:spacing w:line="288"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24</w:t>
            </w:r>
            <w:r>
              <w:rPr>
                <w:rFonts w:hint="eastAsia" w:ascii="宋体" w:hAnsi="宋体" w:eastAsia="宋体" w:cs="宋体"/>
                <w:color w:val="auto"/>
                <w:sz w:val="24"/>
                <w:szCs w:val="24"/>
              </w:rPr>
              <w:t>分</w:t>
            </w:r>
          </w:p>
        </w:tc>
        <w:tc>
          <w:tcPr>
            <w:tcW w:w="6331" w:type="dxa"/>
            <w:tcBorders>
              <w:top w:val="single" w:color="auto" w:sz="4" w:space="0"/>
              <w:left w:val="single" w:color="auto" w:sz="4" w:space="0"/>
              <w:bottom w:val="single" w:color="auto" w:sz="4" w:space="0"/>
              <w:right w:val="single" w:color="auto" w:sz="4" w:space="0"/>
            </w:tcBorders>
            <w:noWrap w:val="0"/>
            <w:vAlign w:val="center"/>
          </w:tcPr>
          <w:p w14:paraId="5203EF79">
            <w:pPr>
              <w:keepNext w:val="0"/>
              <w:keepLines w:val="0"/>
              <w:pageBreakBefore w:val="0"/>
              <w:kinsoku/>
              <w:wordWrap/>
              <w:overflowPunct/>
              <w:topLinePunct w:val="0"/>
              <w:autoSpaceDE/>
              <w:autoSpaceDN/>
              <w:bidi w:val="0"/>
              <w:adjustRightInd/>
              <w:snapToGrid w:val="0"/>
              <w:spacing w:line="288" w:lineRule="auto"/>
              <w:ind w:firstLine="480" w:firstLineChars="200"/>
              <w:textAlignment w:val="auto"/>
              <w:rPr>
                <w:rFonts w:hint="eastAsia" w:ascii="宋体" w:hAnsi="宋体" w:eastAsia="宋体" w:cs="宋体"/>
                <w:b w:val="0"/>
                <w:bCs w:val="0"/>
                <w:color w:val="auto"/>
                <w:sz w:val="24"/>
                <w:szCs w:val="24"/>
              </w:rPr>
            </w:pPr>
            <w:r>
              <w:rPr>
                <w:rFonts w:hint="eastAsia" w:ascii="宋体" w:hAnsi="宋体" w:cs="宋体"/>
                <w:b w:val="0"/>
                <w:bCs w:val="0"/>
                <w:color w:val="auto"/>
                <w:sz w:val="24"/>
                <w:szCs w:val="24"/>
                <w:lang w:eastAsia="zh-CN"/>
              </w:rPr>
              <w:t>采购需求</w:t>
            </w:r>
            <w:r>
              <w:rPr>
                <w:rFonts w:hint="eastAsia" w:ascii="宋体" w:hAnsi="宋体" w:eastAsia="宋体" w:cs="宋体"/>
                <w:b w:val="0"/>
                <w:bCs w:val="0"/>
                <w:color w:val="auto"/>
                <w:sz w:val="24"/>
                <w:szCs w:val="24"/>
              </w:rPr>
              <w:t>文件中带"★"条款为重要技术指标、参数要求，其他为一般技术指标、参数要求。通过符合性审查的</w:t>
            </w:r>
            <w:r>
              <w:rPr>
                <w:rFonts w:hint="eastAsia" w:ascii="宋体" w:hAnsi="宋体" w:cs="宋体"/>
                <w:b w:val="0"/>
                <w:bCs w:val="0"/>
                <w:color w:val="auto"/>
                <w:sz w:val="24"/>
                <w:szCs w:val="24"/>
                <w:lang w:eastAsia="zh-CN"/>
              </w:rPr>
              <w:t>供应商</w:t>
            </w:r>
            <w:r>
              <w:rPr>
                <w:rFonts w:hint="eastAsia" w:ascii="宋体" w:hAnsi="宋体" w:eastAsia="宋体" w:cs="宋体"/>
                <w:b w:val="0"/>
                <w:bCs w:val="0"/>
                <w:color w:val="auto"/>
                <w:sz w:val="24"/>
                <w:szCs w:val="24"/>
              </w:rPr>
              <w:t>得24分，以此为基础。</w:t>
            </w:r>
            <w:r>
              <w:rPr>
                <w:rFonts w:hint="eastAsia" w:ascii="宋体" w:hAnsi="宋体" w:cs="宋体"/>
                <w:b w:val="0"/>
                <w:bCs w:val="0"/>
                <w:color w:val="auto"/>
                <w:sz w:val="24"/>
                <w:szCs w:val="24"/>
                <w:lang w:eastAsia="zh-CN"/>
              </w:rPr>
              <w:t>供应商</w:t>
            </w:r>
            <w:r>
              <w:rPr>
                <w:rFonts w:hint="eastAsia" w:ascii="宋体" w:hAnsi="宋体" w:eastAsia="宋体" w:cs="宋体"/>
                <w:b w:val="0"/>
                <w:bCs w:val="0"/>
                <w:color w:val="auto"/>
                <w:sz w:val="24"/>
                <w:szCs w:val="24"/>
              </w:rPr>
              <w:t>重要技术指标、参数每有一项低于招标文件规定的重要技术指标、参数的减2分；</w:t>
            </w:r>
            <w:r>
              <w:rPr>
                <w:rFonts w:hint="eastAsia" w:ascii="宋体" w:hAnsi="宋体" w:cs="宋体"/>
                <w:b w:val="0"/>
                <w:bCs w:val="0"/>
                <w:color w:val="auto"/>
                <w:sz w:val="24"/>
                <w:szCs w:val="24"/>
                <w:lang w:eastAsia="zh-CN"/>
              </w:rPr>
              <w:t>供应商</w:t>
            </w:r>
            <w:r>
              <w:rPr>
                <w:rFonts w:hint="eastAsia" w:ascii="宋体" w:hAnsi="宋体" w:eastAsia="宋体" w:cs="宋体"/>
                <w:b w:val="0"/>
                <w:bCs w:val="0"/>
                <w:color w:val="auto"/>
                <w:sz w:val="24"/>
                <w:szCs w:val="24"/>
              </w:rPr>
              <w:t>一般技术指标、参数每有一项低于招标文件规定的一般技术指标、参数的减0.5分，两项减完为止（满分24分）。</w:t>
            </w:r>
          </w:p>
          <w:p w14:paraId="0031AD61">
            <w:pPr>
              <w:keepNext w:val="0"/>
              <w:keepLines w:val="0"/>
              <w:pageBreakBefore w:val="0"/>
              <w:kinsoku/>
              <w:wordWrap/>
              <w:overflowPunct/>
              <w:topLinePunct w:val="0"/>
              <w:autoSpaceDE/>
              <w:autoSpaceDN/>
              <w:bidi w:val="0"/>
              <w:adjustRightInd/>
              <w:snapToGrid w:val="0"/>
              <w:spacing w:line="288"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b w:val="0"/>
                <w:bCs w:val="0"/>
                <w:color w:val="auto"/>
                <w:sz w:val="24"/>
                <w:szCs w:val="24"/>
              </w:rPr>
              <w:t>注：1．要求在技术要求响应表中逐项列明响应情况。技术要求响应表中所有重要技术要求必须提供加盖</w:t>
            </w:r>
            <w:r>
              <w:rPr>
                <w:rFonts w:hint="eastAsia" w:ascii="宋体" w:hAnsi="宋体" w:cs="宋体"/>
                <w:b w:val="0"/>
                <w:bCs w:val="0"/>
                <w:color w:val="auto"/>
                <w:sz w:val="24"/>
                <w:szCs w:val="24"/>
                <w:lang w:eastAsia="zh-CN"/>
              </w:rPr>
              <w:t>供应商</w:t>
            </w:r>
            <w:r>
              <w:rPr>
                <w:rFonts w:hint="eastAsia" w:ascii="宋体" w:hAnsi="宋体" w:eastAsia="宋体" w:cs="宋体"/>
                <w:b w:val="0"/>
                <w:bCs w:val="0"/>
                <w:color w:val="auto"/>
                <w:sz w:val="24"/>
                <w:szCs w:val="24"/>
              </w:rPr>
              <w:t>公章的清晰可辨的相关证明文件（包括但不限于产品检验报告、官网截图及实物照片截图等相关资料等）予以佐证，相关证明文件加盖公章附于"技术要求响应表"后。重要技术要求在技术要求响应表中标注证明文件所在页码，并在证明文件中标记相应参数。若提供的材料不能充分证明响应的技术指标或者无证明材料将根据评分规则扣分。2．重要和一般技术指标、参数正偏离（优于招标文件要求）的，不加分。</w:t>
            </w:r>
          </w:p>
        </w:tc>
      </w:tr>
      <w:tr w14:paraId="68A5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4" w:hRule="atLeast"/>
        </w:trPr>
        <w:tc>
          <w:tcPr>
            <w:tcW w:w="843" w:type="dxa"/>
            <w:tcBorders>
              <w:top w:val="single" w:color="auto" w:sz="4" w:space="0"/>
              <w:left w:val="single" w:color="auto" w:sz="4" w:space="0"/>
              <w:bottom w:val="single" w:color="auto" w:sz="4" w:space="0"/>
              <w:right w:val="single" w:color="auto" w:sz="4" w:space="0"/>
            </w:tcBorders>
            <w:noWrap w:val="0"/>
            <w:vAlign w:val="center"/>
          </w:tcPr>
          <w:p w14:paraId="48DF1CA6">
            <w:pPr>
              <w:keepNext w:val="0"/>
              <w:keepLines w:val="0"/>
              <w:pageBreakBefore w:val="0"/>
              <w:kinsoku/>
              <w:wordWrap/>
              <w:overflowPunct/>
              <w:topLinePunct/>
              <w:autoSpaceDE/>
              <w:autoSpaceDN/>
              <w:bidi w:val="0"/>
              <w:adjustRightInd/>
              <w:snapToGrid w:val="0"/>
              <w:spacing w:line="288"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01B379D0">
            <w:pPr>
              <w:keepNext w:val="0"/>
              <w:keepLines w:val="0"/>
              <w:pageBreakBefore w:val="0"/>
              <w:kinsoku/>
              <w:wordWrap/>
              <w:overflowPunct/>
              <w:topLinePunct w:val="0"/>
              <w:autoSpaceDE/>
              <w:autoSpaceDN/>
              <w:bidi w:val="0"/>
              <w:adjustRightInd/>
              <w:snapToGrid w:val="0"/>
              <w:spacing w:line="288"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类似业绩</w:t>
            </w:r>
          </w:p>
        </w:tc>
        <w:tc>
          <w:tcPr>
            <w:tcW w:w="964" w:type="dxa"/>
            <w:tcBorders>
              <w:top w:val="single" w:color="auto" w:sz="4" w:space="0"/>
              <w:left w:val="single" w:color="auto" w:sz="4" w:space="0"/>
              <w:bottom w:val="single" w:color="auto" w:sz="4" w:space="0"/>
              <w:right w:val="single" w:color="auto" w:sz="4" w:space="0"/>
            </w:tcBorders>
            <w:noWrap w:val="0"/>
            <w:vAlign w:val="center"/>
          </w:tcPr>
          <w:p w14:paraId="4FAD564D">
            <w:pPr>
              <w:keepNext w:val="0"/>
              <w:keepLines w:val="0"/>
              <w:pageBreakBefore w:val="0"/>
              <w:kinsoku/>
              <w:wordWrap/>
              <w:overflowPunct/>
              <w:topLinePunct w:val="0"/>
              <w:autoSpaceDE/>
              <w:autoSpaceDN/>
              <w:bidi w:val="0"/>
              <w:adjustRightInd/>
              <w:snapToGrid w:val="0"/>
              <w:spacing w:line="288"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6分</w:t>
            </w:r>
          </w:p>
        </w:tc>
        <w:tc>
          <w:tcPr>
            <w:tcW w:w="6331" w:type="dxa"/>
            <w:tcBorders>
              <w:top w:val="single" w:color="auto" w:sz="4" w:space="0"/>
              <w:left w:val="single" w:color="auto" w:sz="4" w:space="0"/>
              <w:bottom w:val="single" w:color="auto" w:sz="4" w:space="0"/>
              <w:right w:val="single" w:color="auto" w:sz="4" w:space="0"/>
            </w:tcBorders>
            <w:noWrap w:val="0"/>
            <w:vAlign w:val="center"/>
          </w:tcPr>
          <w:p w14:paraId="19E65EC6">
            <w:pPr>
              <w:keepNext w:val="0"/>
              <w:keepLines w:val="0"/>
              <w:pageBreakBefore w:val="0"/>
              <w:kinsoku/>
              <w:wordWrap/>
              <w:overflowPunct/>
              <w:topLinePunct w:val="0"/>
              <w:autoSpaceDE/>
              <w:autoSpaceDN/>
              <w:bidi w:val="0"/>
              <w:adjustRightInd/>
              <w:snapToGrid w:val="0"/>
              <w:spacing w:line="288"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供应商需提供近三年（2023年9月至今）类似业绩，每有</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val="en-US" w:eastAsia="zh-CN"/>
              </w:rPr>
              <w:t>个业绩得2分，最高得6分。</w:t>
            </w:r>
          </w:p>
          <w:p w14:paraId="2550A32B">
            <w:pPr>
              <w:keepNext w:val="0"/>
              <w:keepLines w:val="0"/>
              <w:pageBreakBefore w:val="0"/>
              <w:kinsoku/>
              <w:wordWrap/>
              <w:overflowPunct/>
              <w:topLinePunct w:val="0"/>
              <w:autoSpaceDE/>
              <w:autoSpaceDN/>
              <w:bidi w:val="0"/>
              <w:adjustRightInd/>
              <w:snapToGrid w:val="0"/>
              <w:spacing w:line="288"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注：须提供清晰的合同或中标通知书扫描件并加盖公章，未按要求提供的不得分</w:t>
            </w:r>
            <w:r>
              <w:rPr>
                <w:rFonts w:hint="eastAsia" w:ascii="宋体" w:hAnsi="宋体" w:cs="宋体"/>
                <w:color w:val="auto"/>
                <w:sz w:val="24"/>
                <w:szCs w:val="24"/>
                <w:lang w:val="en-US" w:eastAsia="zh-CN"/>
              </w:rPr>
              <w:t>。</w:t>
            </w:r>
            <w:r>
              <w:rPr>
                <w:rFonts w:hint="eastAsia" w:ascii="宋体" w:hAnsi="宋体" w:eastAsia="宋体" w:cs="宋体"/>
                <w:sz w:val="24"/>
                <w:szCs w:val="24"/>
                <w:lang w:val="en-US" w:eastAsia="zh-CN"/>
              </w:rPr>
              <w:t>供应商应确保所提供的所有资料真实有效，若提供虚假证明资料，成交无效，且供应商必须承担相应责任。</w:t>
            </w:r>
          </w:p>
        </w:tc>
      </w:tr>
      <w:tr w14:paraId="16659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45" w:hRule="atLeast"/>
        </w:trPr>
        <w:tc>
          <w:tcPr>
            <w:tcW w:w="843" w:type="dxa"/>
            <w:tcBorders>
              <w:top w:val="single" w:color="auto" w:sz="4" w:space="0"/>
              <w:left w:val="single" w:color="auto" w:sz="4" w:space="0"/>
              <w:bottom w:val="single" w:color="auto" w:sz="4" w:space="0"/>
              <w:right w:val="single" w:color="auto" w:sz="4" w:space="0"/>
            </w:tcBorders>
            <w:noWrap w:val="0"/>
            <w:vAlign w:val="center"/>
          </w:tcPr>
          <w:p w14:paraId="22561194">
            <w:pPr>
              <w:keepNext w:val="0"/>
              <w:keepLines w:val="0"/>
              <w:pageBreakBefore w:val="0"/>
              <w:kinsoku/>
              <w:wordWrap/>
              <w:overflowPunct/>
              <w:topLinePunct/>
              <w:autoSpaceDE/>
              <w:autoSpaceDN/>
              <w:bidi w:val="0"/>
              <w:adjustRightInd/>
              <w:snapToGrid w:val="0"/>
              <w:spacing w:line="288"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226561D8">
            <w:pPr>
              <w:keepNext w:val="0"/>
              <w:keepLines w:val="0"/>
              <w:pageBreakBefore w:val="0"/>
              <w:kinsoku/>
              <w:wordWrap/>
              <w:overflowPunct/>
              <w:topLinePunct w:val="0"/>
              <w:autoSpaceDE/>
              <w:autoSpaceDN/>
              <w:bidi w:val="0"/>
              <w:adjustRightInd/>
              <w:snapToGrid w:val="0"/>
              <w:spacing w:line="288"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供货方案</w:t>
            </w:r>
          </w:p>
        </w:tc>
        <w:tc>
          <w:tcPr>
            <w:tcW w:w="964" w:type="dxa"/>
            <w:tcBorders>
              <w:top w:val="single" w:color="auto" w:sz="4" w:space="0"/>
              <w:left w:val="single" w:color="auto" w:sz="4" w:space="0"/>
              <w:bottom w:val="single" w:color="auto" w:sz="4" w:space="0"/>
              <w:right w:val="single" w:color="auto" w:sz="4" w:space="0"/>
            </w:tcBorders>
            <w:noWrap w:val="0"/>
            <w:vAlign w:val="center"/>
          </w:tcPr>
          <w:p w14:paraId="692118DA">
            <w:pPr>
              <w:keepNext w:val="0"/>
              <w:keepLines w:val="0"/>
              <w:pageBreakBefore w:val="0"/>
              <w:kinsoku/>
              <w:wordWrap/>
              <w:overflowPunct/>
              <w:topLinePunct w:val="0"/>
              <w:autoSpaceDE/>
              <w:autoSpaceDN/>
              <w:bidi w:val="0"/>
              <w:adjustRightInd/>
              <w:snapToGrid w:val="0"/>
              <w:spacing w:line="288"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10分</w:t>
            </w:r>
          </w:p>
        </w:tc>
        <w:tc>
          <w:tcPr>
            <w:tcW w:w="6331" w:type="dxa"/>
            <w:tcBorders>
              <w:top w:val="single" w:color="auto" w:sz="4" w:space="0"/>
              <w:left w:val="single" w:color="auto" w:sz="4" w:space="0"/>
              <w:bottom w:val="single" w:color="auto" w:sz="4" w:space="0"/>
              <w:right w:val="single" w:color="auto" w:sz="4" w:space="0"/>
            </w:tcBorders>
            <w:noWrap w:val="0"/>
            <w:vAlign w:val="center"/>
          </w:tcPr>
          <w:p w14:paraId="36DFA737">
            <w:pPr>
              <w:keepNext w:val="0"/>
              <w:keepLines w:val="0"/>
              <w:pageBreakBefore w:val="0"/>
              <w:kinsoku/>
              <w:wordWrap/>
              <w:overflowPunct/>
              <w:topLinePunct w:val="0"/>
              <w:autoSpaceDE/>
              <w:autoSpaceDN/>
              <w:bidi w:val="0"/>
              <w:adjustRightInd/>
              <w:snapToGrid w:val="0"/>
              <w:spacing w:line="288"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①针对本项目制定的供货方案，完整覆盖供货范围及技术参数响应、供货周期及分阶段进度计划、货源保障、运输保护及现场交付管理等全部核心要求内容；方案所有核心内容均明确具体执行标准，供货范围及技术参数逐条对应招标文件要求并提供响应说明，分阶段进度计划精确到每日工作节点，提供相关授权及供货承诺文件，运输保护明确具体防护措施及责任划分，现场交付明确验收流程及交付资料，无需补充任何内容即可直接执行，所有条款均针对本项目货物特性及现场实际需求定制编写，无通用模板内容；得10分；</w:t>
            </w:r>
          </w:p>
          <w:p w14:paraId="304E05BA">
            <w:pPr>
              <w:keepNext w:val="0"/>
              <w:keepLines w:val="0"/>
              <w:pageBreakBefore w:val="0"/>
              <w:kinsoku/>
              <w:wordWrap/>
              <w:overflowPunct/>
              <w:topLinePunct w:val="0"/>
              <w:autoSpaceDE/>
              <w:autoSpaceDN/>
              <w:bidi w:val="0"/>
              <w:adjustRightInd/>
              <w:snapToGrid w:val="0"/>
              <w:spacing w:line="288"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②针对本项目制定的供货方案，完整覆盖上述全部核心供货要求内容，无核心内容缺项；方案所有核心内容均有明确安排，供货范围及技术参数覆盖全部招标要求，分阶段进度计划明确关键时间节点，货源提供基础保障说明，运输保护及现场交付明确核心，核心管控措施齐全，仅非核心辅助保障内容未明确细化，不影响整体供货实施；得8分；</w:t>
            </w:r>
          </w:p>
          <w:p w14:paraId="7CBBB7AA">
            <w:pPr>
              <w:keepNext w:val="0"/>
              <w:keepLines w:val="0"/>
              <w:pageBreakBefore w:val="0"/>
              <w:kinsoku/>
              <w:wordWrap/>
              <w:overflowPunct/>
              <w:topLinePunct w:val="0"/>
              <w:autoSpaceDE/>
              <w:autoSpaceDN/>
              <w:bidi w:val="0"/>
              <w:adjustRightInd/>
              <w:snapToGrid w:val="0"/>
              <w:spacing w:line="288"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③针对本项目制定的供货方案，覆盖全部核心供货要求内容，无核心内容整体缺项；方案各核心模块均有对应内容，明确主要供货环节及大致进度安排，具备基础供货流程，能够满足项目最基本的供货需求，部分内容引用通用供货规范；得6分；</w:t>
            </w:r>
          </w:p>
          <w:p w14:paraId="653C25EC">
            <w:pPr>
              <w:keepNext w:val="0"/>
              <w:keepLines w:val="0"/>
              <w:pageBreakBefore w:val="0"/>
              <w:kinsoku/>
              <w:wordWrap/>
              <w:overflowPunct/>
              <w:topLinePunct w:val="0"/>
              <w:autoSpaceDE/>
              <w:autoSpaceDN/>
              <w:bidi w:val="0"/>
              <w:adjustRightInd/>
              <w:snapToGrid w:val="0"/>
              <w:spacing w:line="288"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④针对本项目制定的供货方案，内容不够全面，核心内容存在个别关键信息缺失、非核心内容有缺项，多数供货环节仅明确框架要求，未细化具体执行标准，实施前需补充大量具体内容，仅部分内容结合本项目货物实际供货情况编写：得4分；  </w:t>
            </w:r>
          </w:p>
          <w:p w14:paraId="2621517F">
            <w:pPr>
              <w:keepNext w:val="0"/>
              <w:keepLines w:val="0"/>
              <w:pageBreakBefore w:val="0"/>
              <w:kinsoku/>
              <w:wordWrap/>
              <w:overflowPunct/>
              <w:topLinePunct w:val="0"/>
              <w:autoSpaceDE/>
              <w:autoSpaceDN/>
              <w:bidi w:val="0"/>
              <w:adjustRightInd/>
              <w:snapToGrid w:val="0"/>
              <w:spacing w:line="288"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⑤提供的供货方案内容存在至少1项核心内容整体缺项、关键内容仅作简单概括无实施细则，未结合本项目货物特性及现场实际情况编写，仅具备基础框架结构，无任何可直接执行的供货操作描述；得2分；</w:t>
            </w:r>
          </w:p>
          <w:p w14:paraId="5E7382A8">
            <w:pPr>
              <w:keepNext w:val="0"/>
              <w:keepLines w:val="0"/>
              <w:pageBreakBefore w:val="0"/>
              <w:kinsoku/>
              <w:wordWrap/>
              <w:overflowPunct/>
              <w:topLinePunct w:val="0"/>
              <w:autoSpaceDE/>
              <w:autoSpaceDN/>
              <w:bidi w:val="0"/>
              <w:adjustRightInd/>
              <w:snapToGrid w:val="0"/>
              <w:spacing w:line="288"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⑥无任何具体实质性描述，或未提供本项对应内容的，得0分。</w:t>
            </w:r>
          </w:p>
        </w:tc>
      </w:tr>
      <w:tr w14:paraId="0A4B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843" w:type="dxa"/>
            <w:tcBorders>
              <w:top w:val="single" w:color="auto" w:sz="4" w:space="0"/>
              <w:left w:val="single" w:color="auto" w:sz="4" w:space="0"/>
              <w:bottom w:val="single" w:color="auto" w:sz="4" w:space="0"/>
              <w:right w:val="single" w:color="auto" w:sz="4" w:space="0"/>
            </w:tcBorders>
            <w:noWrap w:val="0"/>
            <w:vAlign w:val="center"/>
          </w:tcPr>
          <w:p w14:paraId="7FD95316">
            <w:pPr>
              <w:keepNext w:val="0"/>
              <w:keepLines w:val="0"/>
              <w:pageBreakBefore w:val="0"/>
              <w:widowControl/>
              <w:kinsoku/>
              <w:wordWrap/>
              <w:overflowPunct/>
              <w:topLinePunct/>
              <w:autoSpaceDE/>
              <w:autoSpaceDN/>
              <w:bidi w:val="0"/>
              <w:adjustRightInd/>
              <w:snapToGrid w:val="0"/>
              <w:spacing w:line="288"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670B0E59">
            <w:pPr>
              <w:keepNext w:val="0"/>
              <w:keepLines w:val="0"/>
              <w:pageBreakBefore w:val="0"/>
              <w:kinsoku/>
              <w:wordWrap/>
              <w:overflowPunct/>
              <w:topLinePunct w:val="0"/>
              <w:autoSpaceDE/>
              <w:autoSpaceDN/>
              <w:bidi w:val="0"/>
              <w:adjustRightInd/>
              <w:snapToGrid w:val="0"/>
              <w:spacing w:line="288"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安装调试方案</w:t>
            </w:r>
          </w:p>
        </w:tc>
        <w:tc>
          <w:tcPr>
            <w:tcW w:w="964" w:type="dxa"/>
            <w:tcBorders>
              <w:top w:val="single" w:color="auto" w:sz="4" w:space="0"/>
              <w:left w:val="single" w:color="auto" w:sz="4" w:space="0"/>
              <w:bottom w:val="single" w:color="auto" w:sz="4" w:space="0"/>
              <w:right w:val="single" w:color="auto" w:sz="4" w:space="0"/>
            </w:tcBorders>
            <w:noWrap w:val="0"/>
            <w:vAlign w:val="center"/>
          </w:tcPr>
          <w:p w14:paraId="18F0079A">
            <w:pPr>
              <w:keepNext w:val="0"/>
              <w:keepLines w:val="0"/>
              <w:pageBreakBefore w:val="0"/>
              <w:kinsoku/>
              <w:wordWrap/>
              <w:overflowPunct/>
              <w:topLinePunct w:val="0"/>
              <w:autoSpaceDE/>
              <w:autoSpaceDN/>
              <w:bidi w:val="0"/>
              <w:adjustRightInd/>
              <w:snapToGrid w:val="0"/>
              <w:spacing w:line="288"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10分</w:t>
            </w:r>
          </w:p>
        </w:tc>
        <w:tc>
          <w:tcPr>
            <w:tcW w:w="6331" w:type="dxa"/>
            <w:tcBorders>
              <w:top w:val="single" w:color="auto" w:sz="4" w:space="0"/>
              <w:left w:val="single" w:color="auto" w:sz="4" w:space="0"/>
              <w:bottom w:val="single" w:color="auto" w:sz="4" w:space="0"/>
              <w:right w:val="single" w:color="auto" w:sz="4" w:space="0"/>
            </w:tcBorders>
            <w:noWrap w:val="0"/>
            <w:vAlign w:val="center"/>
          </w:tcPr>
          <w:p w14:paraId="3D1782D9">
            <w:pPr>
              <w:keepNext w:val="0"/>
              <w:keepLines w:val="0"/>
              <w:pageBreakBefore w:val="0"/>
              <w:kinsoku/>
              <w:wordWrap/>
              <w:overflowPunct/>
              <w:topLinePunct w:val="0"/>
              <w:autoSpaceDE/>
              <w:autoSpaceDN/>
              <w:bidi w:val="0"/>
              <w:adjustRightInd/>
              <w:snapToGrid w:val="0"/>
              <w:spacing w:line="288"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①针对本项目制定的安装调试方案，完整覆盖安装调试服务内容、安装调试周期、工序安装具体实施方案、安装人员配置等全部要求内容；方案所有核心内容均明确具体执行标准，安装工序细化到每一步操作规范与验收节点，安装调试周期精确到每日工作内容，安装人员明确岗位分工、资质要求及到场时间，保障措施列明具体资源配置与应急预案，无需补充任何内容即可直接执行，所有条款均针对本项目弧幕电子屏、钢结构支架等设备及现场实施场景定制编写，无通用模板内容；得10分；②针对本项目制定的安装调试方案，完整覆盖安装调试服务内容、安装调试周期、工序安装具体实施方案、安装人员配置等全部要求内容，无核心内容缺项；方案所有核心内容均有明确安排，安装工序明确主要操作步骤与验收要求，安装调试周期明确整体时间节点，安装人员明确人员数量与基本分工，核心保障措施齐全，仅非核心辅助保障内容未明确细化，不影响整体安装调试实施；得8分；</w:t>
            </w:r>
          </w:p>
          <w:p w14:paraId="39B6EF7E">
            <w:pPr>
              <w:keepNext w:val="0"/>
              <w:keepLines w:val="0"/>
              <w:pageBreakBefore w:val="0"/>
              <w:kinsoku/>
              <w:wordWrap/>
              <w:overflowPunct/>
              <w:topLinePunct w:val="0"/>
              <w:autoSpaceDE/>
              <w:autoSpaceDN/>
              <w:bidi w:val="0"/>
              <w:adjustRightInd/>
              <w:snapToGrid w:val="0"/>
              <w:spacing w:line="288"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③针对本项目制定的安装调试方案，覆盖安装调试服务内容、安装调试周期、工序安装具体实施方案、安装人员配置等全部要求内容，无核心内容整体缺项；方案各核心模块均有对应内容，明确主要安装调试动作与大致时间安排，安装人员明确人员范围，具备基础安装流程，能够满足项目最基本的安装调试需求，部分内容引用通用安装规范；得6分；</w:t>
            </w:r>
          </w:p>
          <w:p w14:paraId="157563B0">
            <w:pPr>
              <w:keepNext w:val="0"/>
              <w:keepLines w:val="0"/>
              <w:pageBreakBefore w:val="0"/>
              <w:kinsoku/>
              <w:wordWrap/>
              <w:overflowPunct/>
              <w:topLinePunct w:val="0"/>
              <w:autoSpaceDE/>
              <w:autoSpaceDN/>
              <w:bidi w:val="0"/>
              <w:adjustRightInd/>
              <w:snapToGrid w:val="0"/>
              <w:spacing w:line="288"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④针对本项目制定的安装调试方案，内容不够全面，核心内容存在个别关键信息缺失、非核心内容有缺项，多数安装调试环节仅明确框架要求，未细化具体执行标准，实施前需补充大量具体内容，仅部分内容结合本项目设备安装调试实际情况编写；得4分；</w:t>
            </w:r>
          </w:p>
          <w:p w14:paraId="19165B3F">
            <w:pPr>
              <w:keepNext w:val="0"/>
              <w:keepLines w:val="0"/>
              <w:pageBreakBefore w:val="0"/>
              <w:kinsoku/>
              <w:wordWrap/>
              <w:overflowPunct/>
              <w:topLinePunct w:val="0"/>
              <w:autoSpaceDE/>
              <w:autoSpaceDN/>
              <w:bidi w:val="0"/>
              <w:adjustRightInd/>
              <w:snapToGrid w:val="0"/>
              <w:spacing w:line="288"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⑤提供的安装调试方案内容存在至少1项核心内容整体缺项、关键内容仅作简单概括无实施细则，未结合本项目弧幕电子屏、钢结构支架等设备及实施场景编写，仅具备基础框架结构，无任何可直接执行的安装调试操作描述：得2分：</w:t>
            </w:r>
          </w:p>
          <w:p w14:paraId="6C9BEFBE">
            <w:pPr>
              <w:keepNext w:val="0"/>
              <w:keepLines w:val="0"/>
              <w:pageBreakBefore w:val="0"/>
              <w:kinsoku/>
              <w:wordWrap/>
              <w:overflowPunct/>
              <w:topLinePunct w:val="0"/>
              <w:autoSpaceDE/>
              <w:autoSpaceDN/>
              <w:bidi w:val="0"/>
              <w:adjustRightInd/>
              <w:snapToGrid w:val="0"/>
              <w:spacing w:line="288"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⑥无任何具体实质性描述，或未提供本项对应内容的，得0分。</w:t>
            </w:r>
          </w:p>
        </w:tc>
      </w:tr>
      <w:tr w14:paraId="6D2AF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trPr>
        <w:tc>
          <w:tcPr>
            <w:tcW w:w="843" w:type="dxa"/>
            <w:tcBorders>
              <w:top w:val="single" w:color="auto" w:sz="4" w:space="0"/>
              <w:left w:val="single" w:color="auto" w:sz="4" w:space="0"/>
              <w:bottom w:val="single" w:color="auto" w:sz="4" w:space="0"/>
              <w:right w:val="single" w:color="auto" w:sz="4" w:space="0"/>
            </w:tcBorders>
            <w:noWrap w:val="0"/>
            <w:vAlign w:val="center"/>
          </w:tcPr>
          <w:p w14:paraId="652EBB9B">
            <w:pPr>
              <w:keepNext w:val="0"/>
              <w:keepLines w:val="0"/>
              <w:pageBreakBefore w:val="0"/>
              <w:widowControl/>
              <w:kinsoku/>
              <w:wordWrap/>
              <w:overflowPunct/>
              <w:topLinePunct/>
              <w:autoSpaceDE/>
              <w:autoSpaceDN/>
              <w:bidi w:val="0"/>
              <w:adjustRightInd/>
              <w:snapToGrid w:val="0"/>
              <w:spacing w:line="288"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6</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3401FCF6">
            <w:pPr>
              <w:keepNext w:val="0"/>
              <w:keepLines w:val="0"/>
              <w:pageBreakBefore w:val="0"/>
              <w:kinsoku/>
              <w:wordWrap/>
              <w:overflowPunct/>
              <w:topLinePunct w:val="0"/>
              <w:autoSpaceDE/>
              <w:autoSpaceDN/>
              <w:bidi w:val="0"/>
              <w:adjustRightInd/>
              <w:snapToGrid w:val="0"/>
              <w:spacing w:line="288" w:lineRule="auto"/>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培训方案</w:t>
            </w:r>
          </w:p>
        </w:tc>
        <w:tc>
          <w:tcPr>
            <w:tcW w:w="964" w:type="dxa"/>
            <w:tcBorders>
              <w:top w:val="single" w:color="auto" w:sz="4" w:space="0"/>
              <w:left w:val="single" w:color="auto" w:sz="4" w:space="0"/>
              <w:bottom w:val="single" w:color="auto" w:sz="4" w:space="0"/>
              <w:right w:val="single" w:color="auto" w:sz="4" w:space="0"/>
            </w:tcBorders>
            <w:noWrap w:val="0"/>
            <w:vAlign w:val="center"/>
          </w:tcPr>
          <w:p w14:paraId="5F214104">
            <w:pPr>
              <w:keepNext w:val="0"/>
              <w:keepLines w:val="0"/>
              <w:pageBreakBefore w:val="0"/>
              <w:kinsoku/>
              <w:wordWrap/>
              <w:overflowPunct/>
              <w:topLinePunct w:val="0"/>
              <w:autoSpaceDE/>
              <w:autoSpaceDN/>
              <w:bidi w:val="0"/>
              <w:adjustRightInd/>
              <w:snapToGrid w:val="0"/>
              <w:spacing w:line="288"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10分</w:t>
            </w:r>
          </w:p>
        </w:tc>
        <w:tc>
          <w:tcPr>
            <w:tcW w:w="6331" w:type="dxa"/>
            <w:tcBorders>
              <w:top w:val="single" w:color="auto" w:sz="4" w:space="0"/>
              <w:left w:val="single" w:color="auto" w:sz="4" w:space="0"/>
              <w:bottom w:val="single" w:color="auto" w:sz="4" w:space="0"/>
              <w:right w:val="single" w:color="auto" w:sz="4" w:space="0"/>
            </w:tcBorders>
            <w:noWrap w:val="0"/>
            <w:vAlign w:val="center"/>
          </w:tcPr>
          <w:p w14:paraId="3620A5BC">
            <w:pPr>
              <w:keepNext w:val="0"/>
              <w:keepLines w:val="0"/>
              <w:pageBreakBefore w:val="0"/>
              <w:kinsoku/>
              <w:wordWrap/>
              <w:overflowPunct/>
              <w:topLinePunct w:val="0"/>
              <w:autoSpaceDE/>
              <w:autoSpaceDN/>
              <w:bidi w:val="0"/>
              <w:adjustRightInd/>
              <w:snapToGrid w:val="0"/>
              <w:spacing w:line="288" w:lineRule="auto"/>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①针对本项目制定的培训方案，完整覆盖培训内容、培训时间安排、培训人员、培训后长期技术指导等全部核心要求内容：方案所有核心内容均明确具体执行标准，培训内容完全对应本项目设备清单及系统功能模块，培训计划精确到每日课时与授课讲师，配套完整的培训资料、实操演练环节及考核验收标准，培训后技术指导明确服务时限、响应方式及支持范围，无需补充任何内容即可直接实施，能够保证参训人员独立完成设备操作及日常维护工作；得10分：</w:t>
            </w:r>
          </w:p>
          <w:p w14:paraId="4040EE34">
            <w:pPr>
              <w:keepNext w:val="0"/>
              <w:keepLines w:val="0"/>
              <w:pageBreakBefore w:val="0"/>
              <w:kinsoku/>
              <w:wordWrap/>
              <w:overflowPunct/>
              <w:topLinePunct w:val="0"/>
              <w:autoSpaceDE/>
              <w:autoSpaceDN/>
              <w:bidi w:val="0"/>
              <w:adjustRightInd/>
              <w:snapToGrid w:val="0"/>
              <w:spacing w:line="288" w:lineRule="auto"/>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②针对本项目制定的培训方案，完整覆盖上述全部核心培训要求内容，无核心内容缺项；方案所有核心内容均有明确安排，培训内容覆盖本项目主要设备及系统核心功能，培训计划明确时间节点与人员分工，配套基础培训资料及考核方式，核心培训保障措施齐全，仅非核心辅助保障内容未明确细化，不影响整体培训实施；得8分；</w:t>
            </w:r>
          </w:p>
          <w:p w14:paraId="12DCD0AE">
            <w:pPr>
              <w:keepNext w:val="0"/>
              <w:keepLines w:val="0"/>
              <w:pageBreakBefore w:val="0"/>
              <w:kinsoku/>
              <w:wordWrap/>
              <w:overflowPunct/>
              <w:topLinePunct w:val="0"/>
              <w:autoSpaceDE/>
              <w:autoSpaceDN/>
              <w:bidi w:val="0"/>
              <w:adjustRightInd/>
              <w:snapToGrid w:val="0"/>
              <w:spacing w:line="288" w:lineRule="auto"/>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③针对本项目制定的培训方案，覆盖全部核心培训要求内容，无核心内容整体缺项；方案各核心模块均有对应内容，培训内容覆盖本项目设备及系统的基本操作，培训计划明确大致时间与人员范围，具备基础培训流程，能够满足项目最基本的培训需求，部分内容引用通用培训规范；得6分；</w:t>
            </w:r>
          </w:p>
          <w:p w14:paraId="366A6007">
            <w:pPr>
              <w:keepNext w:val="0"/>
              <w:keepLines w:val="0"/>
              <w:pageBreakBefore w:val="0"/>
              <w:kinsoku/>
              <w:wordWrap/>
              <w:overflowPunct/>
              <w:topLinePunct w:val="0"/>
              <w:autoSpaceDE/>
              <w:autoSpaceDN/>
              <w:bidi w:val="0"/>
              <w:adjustRightInd/>
              <w:snapToGrid w:val="0"/>
              <w:spacing w:line="288" w:lineRule="auto"/>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④针对本项目制定的培训方案，内容不够全面，核心内容存在个别关键信息缺失、非核心内容有缺项，多数培训环节仅明确框架要求，未细化具体执行安排，实施前需补充大量具体内容，仅部分培训内容结合本项目设备及系统情况编写；得4分；⑤提供的培训方案内容存在至少1项核心内容整体缺项、关键内容仅作简单概括无实施细则，未结合本项目设备及系统的具体情况编写培训内容，仅具备基础框架结构，无任何可直接执行的培训操作描述；得2分；</w:t>
            </w:r>
          </w:p>
          <w:p w14:paraId="7733DB12">
            <w:pPr>
              <w:keepNext w:val="0"/>
              <w:keepLines w:val="0"/>
              <w:pageBreakBefore w:val="0"/>
              <w:kinsoku/>
              <w:wordWrap/>
              <w:overflowPunct/>
              <w:topLinePunct w:val="0"/>
              <w:autoSpaceDE/>
              <w:autoSpaceDN/>
              <w:bidi w:val="0"/>
              <w:adjustRightInd/>
              <w:snapToGrid w:val="0"/>
              <w:spacing w:line="288" w:lineRule="auto"/>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⑥无任何具体实质性描述，或未提供本项对应内容的，得0分。</w:t>
            </w:r>
          </w:p>
        </w:tc>
      </w:tr>
      <w:tr w14:paraId="34EDC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0" w:hRule="atLeast"/>
        </w:trPr>
        <w:tc>
          <w:tcPr>
            <w:tcW w:w="843" w:type="dxa"/>
            <w:tcBorders>
              <w:top w:val="single" w:color="auto" w:sz="4" w:space="0"/>
              <w:left w:val="single" w:color="auto" w:sz="4" w:space="0"/>
              <w:bottom w:val="single" w:color="auto" w:sz="4" w:space="0"/>
              <w:right w:val="single" w:color="auto" w:sz="4" w:space="0"/>
            </w:tcBorders>
            <w:noWrap w:val="0"/>
            <w:vAlign w:val="center"/>
          </w:tcPr>
          <w:p w14:paraId="77C52A06">
            <w:pPr>
              <w:keepNext w:val="0"/>
              <w:keepLines w:val="0"/>
              <w:pageBreakBefore w:val="0"/>
              <w:kinsoku/>
              <w:wordWrap/>
              <w:overflowPunct/>
              <w:topLinePunct w:val="0"/>
              <w:autoSpaceDE/>
              <w:autoSpaceDN/>
              <w:bidi w:val="0"/>
              <w:adjustRightInd/>
              <w:snapToGrid w:val="0"/>
              <w:spacing w:line="288"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351B41E6">
            <w:pPr>
              <w:keepNext w:val="0"/>
              <w:keepLines w:val="0"/>
              <w:pageBreakBefore w:val="0"/>
              <w:kinsoku/>
              <w:wordWrap/>
              <w:overflowPunct/>
              <w:topLinePunct w:val="0"/>
              <w:autoSpaceDE/>
              <w:autoSpaceDN/>
              <w:bidi w:val="0"/>
              <w:adjustRightInd/>
              <w:snapToGrid w:val="0"/>
              <w:spacing w:line="288" w:lineRule="auto"/>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售后服务</w:t>
            </w:r>
          </w:p>
        </w:tc>
        <w:tc>
          <w:tcPr>
            <w:tcW w:w="964" w:type="dxa"/>
            <w:tcBorders>
              <w:top w:val="single" w:color="auto" w:sz="4" w:space="0"/>
              <w:left w:val="single" w:color="auto" w:sz="4" w:space="0"/>
              <w:bottom w:val="single" w:color="auto" w:sz="4" w:space="0"/>
              <w:right w:val="single" w:color="auto" w:sz="4" w:space="0"/>
            </w:tcBorders>
            <w:noWrap w:val="0"/>
            <w:vAlign w:val="center"/>
          </w:tcPr>
          <w:p w14:paraId="30454A0D">
            <w:pPr>
              <w:keepNext w:val="0"/>
              <w:keepLines w:val="0"/>
              <w:pageBreakBefore w:val="0"/>
              <w:kinsoku/>
              <w:wordWrap/>
              <w:overflowPunct/>
              <w:topLinePunct w:val="0"/>
              <w:autoSpaceDE/>
              <w:autoSpaceDN/>
              <w:bidi w:val="0"/>
              <w:adjustRightInd/>
              <w:snapToGrid w:val="0"/>
              <w:spacing w:line="288"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10分</w:t>
            </w:r>
          </w:p>
        </w:tc>
        <w:tc>
          <w:tcPr>
            <w:tcW w:w="6331" w:type="dxa"/>
            <w:tcBorders>
              <w:top w:val="single" w:color="auto" w:sz="4" w:space="0"/>
              <w:left w:val="single" w:color="auto" w:sz="4" w:space="0"/>
              <w:bottom w:val="single" w:color="auto" w:sz="4" w:space="0"/>
              <w:right w:val="single" w:color="auto" w:sz="4" w:space="0"/>
            </w:tcBorders>
            <w:noWrap w:val="0"/>
            <w:vAlign w:val="center"/>
          </w:tcPr>
          <w:p w14:paraId="210FF9EE">
            <w:pPr>
              <w:keepNext w:val="0"/>
              <w:keepLines w:val="0"/>
              <w:pageBreakBefore w:val="0"/>
              <w:kinsoku/>
              <w:wordWrap/>
              <w:overflowPunct/>
              <w:topLinePunct w:val="0"/>
              <w:autoSpaceDE/>
              <w:autoSpaceDN/>
              <w:bidi w:val="0"/>
              <w:adjustRightInd/>
              <w:snapToGrid w:val="0"/>
              <w:spacing w:line="288" w:lineRule="auto"/>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①针对本项目制定的售后服务方案，完整覆盖质保期限与质保范围承诺、日常运维服务、故障响应与现场处置机制、定期巡检维护方案、备品备件储备保障、质保期满后长期运维服务、软硬件应急保障措施等全部核心要求内容；方案所有核心内容均明确执行时限、人员配置、操作步骤、验收标准及资源保障，服务流程节点清晰可追溯，保障措施列明具体数量与标准，无需补充任何内容即可直接执行，所有条款均针对本项目设备清单、系统架构及使用场景定制编写，无通用模板内容；得10分；②针对本项目制定的售后服务方案，完整覆盖上述全部核心售后服务要求内容，无核心内容缺项；方案所有核心内容均明确基础执行流程与保障要求，服务流程符合行业规范，保障措施能够满足项目运维基本需要，核心条款结合本项目软硬件设备及系统的运维实际情况编写，仅非核心辅助条款未明确细化执行标准，不影响整体方案实施；得8分；</w:t>
            </w:r>
          </w:p>
          <w:p w14:paraId="37E32126">
            <w:pPr>
              <w:keepNext w:val="0"/>
              <w:keepLines w:val="0"/>
              <w:pageBreakBefore w:val="0"/>
              <w:kinsoku/>
              <w:wordWrap/>
              <w:overflowPunct/>
              <w:topLinePunct w:val="0"/>
              <w:autoSpaceDE/>
              <w:autoSpaceDN/>
              <w:bidi w:val="0"/>
              <w:adjustRightInd/>
              <w:snapToGrid w:val="0"/>
              <w:spacing w:line="288" w:lineRule="auto"/>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③针对本项目制定的售后服务方案，覆盖全部核心售后服务要求内容，无核心内容整体缺项；方案各核心模块均有对应内容，明确主要服务动作，能够满足项目最基本的运维需求，核心条款结合本项目设备及系统运维的基本情况编写，部分内容引用通用运维规范：得6分；</w:t>
            </w:r>
          </w:p>
          <w:p w14:paraId="50BE9B1C">
            <w:pPr>
              <w:keepNext w:val="0"/>
              <w:keepLines w:val="0"/>
              <w:pageBreakBefore w:val="0"/>
              <w:kinsoku/>
              <w:wordWrap/>
              <w:overflowPunct/>
              <w:topLinePunct w:val="0"/>
              <w:autoSpaceDE/>
              <w:autoSpaceDN/>
              <w:bidi w:val="0"/>
              <w:adjustRightInd/>
              <w:snapToGrid w:val="0"/>
              <w:spacing w:line="288" w:lineRule="auto"/>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④针对本项目制定的售后服务方案，内容不够全面，核心内容存在个别关键信息缺失、非核心内容有缺项，方案多数服务环节仅明确框架要求，未细化执行标准，实施前需补充大量具体内容，仅部分条款结合本项目设备及系统运维的实际情况编写；得4分；</w:t>
            </w:r>
          </w:p>
          <w:p w14:paraId="5FA3BDDF">
            <w:pPr>
              <w:keepNext w:val="0"/>
              <w:keepLines w:val="0"/>
              <w:pageBreakBefore w:val="0"/>
              <w:kinsoku/>
              <w:wordWrap/>
              <w:overflowPunct/>
              <w:topLinePunct w:val="0"/>
              <w:autoSpaceDE/>
              <w:autoSpaceDN/>
              <w:bidi w:val="0"/>
              <w:adjustRightInd/>
              <w:snapToGrid w:val="0"/>
              <w:spacing w:line="288" w:lineRule="auto"/>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⑤提供的售后服务方案内容存在至少1项核心内容整体缺项、关键内容仅作简单概括无实施细则，未结合本项目设备及系统运维的实际情况编写，仅具备基础框架结构，无任何可直接执行的服务操作描述；得2分；</w:t>
            </w:r>
          </w:p>
          <w:p w14:paraId="612D3FD0">
            <w:pPr>
              <w:keepNext w:val="0"/>
              <w:keepLines w:val="0"/>
              <w:pageBreakBefore w:val="0"/>
              <w:kinsoku/>
              <w:wordWrap/>
              <w:overflowPunct/>
              <w:topLinePunct w:val="0"/>
              <w:autoSpaceDE/>
              <w:autoSpaceDN/>
              <w:bidi w:val="0"/>
              <w:adjustRightInd/>
              <w:snapToGrid w:val="0"/>
              <w:spacing w:line="288"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color w:val="auto"/>
                <w:sz w:val="24"/>
                <w:szCs w:val="24"/>
                <w:lang w:val="en-US" w:eastAsia="zh-CN"/>
              </w:rPr>
              <w:t>⑥无任何具体实质性描述，或未提供本项对应内容的，得0分。</w:t>
            </w:r>
          </w:p>
        </w:tc>
      </w:tr>
    </w:tbl>
    <w:p w14:paraId="41A07CC0">
      <w:pPr>
        <w:keepNext w:val="0"/>
        <w:keepLines w:val="0"/>
        <w:pageBreakBefore w:val="0"/>
        <w:kinsoku/>
        <w:wordWrap/>
        <w:overflowPunct/>
        <w:topLinePunct/>
        <w:autoSpaceDE/>
        <w:autoSpaceDN/>
        <w:bidi w:val="0"/>
        <w:adjustRightInd/>
        <w:snapToGrid w:val="0"/>
        <w:spacing w:line="400" w:lineRule="exact"/>
        <w:textAlignment w:val="auto"/>
        <w:rPr>
          <w:rFonts w:hint="eastAsia" w:ascii="宋体" w:hAnsi="宋体" w:eastAsia="宋体" w:cs="宋体"/>
          <w:color w:val="auto"/>
          <w:sz w:val="21"/>
          <w:szCs w:val="21"/>
        </w:rPr>
      </w:pPr>
    </w:p>
    <w:p w14:paraId="6750C25A">
      <w:pPr>
        <w:keepNext w:val="0"/>
        <w:keepLines w:val="0"/>
        <w:pageBreakBefore w:val="0"/>
        <w:kinsoku/>
        <w:wordWrap/>
        <w:overflowPunct/>
        <w:topLinePunct/>
        <w:autoSpaceDE/>
        <w:autoSpaceDN/>
        <w:bidi w:val="0"/>
        <w:adjustRightInd/>
        <w:snapToGrid w:val="0"/>
        <w:spacing w:line="400" w:lineRule="exact"/>
        <w:textAlignment w:val="auto"/>
        <w:rPr>
          <w:rFonts w:hint="eastAsia" w:ascii="宋体" w:hAnsi="宋体" w:eastAsia="宋体" w:cs="宋体"/>
          <w:color w:val="auto"/>
          <w:sz w:val="21"/>
          <w:szCs w:val="21"/>
        </w:rPr>
      </w:pPr>
    </w:p>
    <w:sectPr>
      <w:footerReference r:id="rId3" w:type="default"/>
      <w:pgSz w:w="11906" w:h="16838"/>
      <w:pgMar w:top="2098" w:right="1474" w:bottom="1984" w:left="1587" w:header="851" w:footer="992" w:gutter="0"/>
      <w:cols w:space="72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ambria">
    <w:altName w:val="Noto Sans Syriac Eastern"/>
    <w:panose1 w:val="02040503050406030204"/>
    <w:charset w:val="00"/>
    <w:family w:val="moder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楷体_GB2312">
    <w:panose1 w:val="02010609030101010101"/>
    <w:charset w:val="86"/>
    <w:family w:val="modern"/>
    <w:pitch w:val="default"/>
    <w:sig w:usb0="00000001" w:usb1="080E0000" w:usb2="00000000" w:usb3="00000000" w:csb0="00040000" w:csb1="00000000"/>
  </w:font>
  <w:font w:name="微软雅黑">
    <w:altName w:val="方正黑体_GBK"/>
    <w:panose1 w:val="020B0503020204020204"/>
    <w:charset w:val="00"/>
    <w:family w:val="auto"/>
    <w:pitch w:val="default"/>
    <w:sig w:usb0="00000000" w:usb1="00000000" w:usb2="00000016" w:usb3="00000000" w:csb0="0004001F" w:csb1="00000000"/>
  </w:font>
  <w:font w:name="方正小标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F2A82">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25D284">
                          <w:pPr>
                            <w:pStyle w:val="11"/>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3725D284">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9078B8"/>
    <w:multiLevelType w:val="multilevel"/>
    <w:tmpl w:val="4C9078B8"/>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3"/>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cumentProtection w:enforcement="0"/>
  <w:defaultTabStop w:val="420"/>
  <w:hyphenationZone w:val="360"/>
  <w:drawingGridVerticalSpacing w:val="158"/>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A759CC"/>
    <w:rsid w:val="04285F8F"/>
    <w:rsid w:val="04CB6B4A"/>
    <w:rsid w:val="0BEFCC38"/>
    <w:rsid w:val="0CF76824"/>
    <w:rsid w:val="0DCBFDDF"/>
    <w:rsid w:val="0E1911F3"/>
    <w:rsid w:val="0F96B206"/>
    <w:rsid w:val="13FF915A"/>
    <w:rsid w:val="147F4141"/>
    <w:rsid w:val="16B7F762"/>
    <w:rsid w:val="17B905CC"/>
    <w:rsid w:val="17F96107"/>
    <w:rsid w:val="19E527FE"/>
    <w:rsid w:val="1B6F1AA7"/>
    <w:rsid w:val="1BEF37E2"/>
    <w:rsid w:val="1D58E9B2"/>
    <w:rsid w:val="1E7BDA60"/>
    <w:rsid w:val="1EE65F7A"/>
    <w:rsid w:val="1EFBF04E"/>
    <w:rsid w:val="1EFC9F5F"/>
    <w:rsid w:val="1F6F89F0"/>
    <w:rsid w:val="1F7FA7B3"/>
    <w:rsid w:val="1FAFF016"/>
    <w:rsid w:val="1FF7C750"/>
    <w:rsid w:val="1FFF4040"/>
    <w:rsid w:val="1FFFF6A6"/>
    <w:rsid w:val="20DE697C"/>
    <w:rsid w:val="21FAFA2D"/>
    <w:rsid w:val="23FF5A3E"/>
    <w:rsid w:val="25DA4AAF"/>
    <w:rsid w:val="27D037DE"/>
    <w:rsid w:val="28BEDAAE"/>
    <w:rsid w:val="29BF5196"/>
    <w:rsid w:val="2A4F483B"/>
    <w:rsid w:val="2B7F404D"/>
    <w:rsid w:val="2BFFD425"/>
    <w:rsid w:val="2CB7AFEB"/>
    <w:rsid w:val="2D9EEF9D"/>
    <w:rsid w:val="2DFF0AC4"/>
    <w:rsid w:val="2E5A1FA5"/>
    <w:rsid w:val="2E6F073D"/>
    <w:rsid w:val="2E771229"/>
    <w:rsid w:val="2E95DCE0"/>
    <w:rsid w:val="2F0AEAEF"/>
    <w:rsid w:val="2FAD6D51"/>
    <w:rsid w:val="2FEDDF23"/>
    <w:rsid w:val="2FFB74BD"/>
    <w:rsid w:val="2FFF5588"/>
    <w:rsid w:val="313D06BF"/>
    <w:rsid w:val="33753333"/>
    <w:rsid w:val="33FB27D8"/>
    <w:rsid w:val="343F864C"/>
    <w:rsid w:val="35367BB5"/>
    <w:rsid w:val="35DE8100"/>
    <w:rsid w:val="35EB3D30"/>
    <w:rsid w:val="35F598EA"/>
    <w:rsid w:val="36AF643D"/>
    <w:rsid w:val="36DF2A31"/>
    <w:rsid w:val="36F77847"/>
    <w:rsid w:val="36FE0451"/>
    <w:rsid w:val="36FFBCA4"/>
    <w:rsid w:val="375F4A67"/>
    <w:rsid w:val="377F14EF"/>
    <w:rsid w:val="379E9C49"/>
    <w:rsid w:val="37FBB17C"/>
    <w:rsid w:val="37FE924A"/>
    <w:rsid w:val="37FFD06A"/>
    <w:rsid w:val="38FFD812"/>
    <w:rsid w:val="39EFB561"/>
    <w:rsid w:val="3AFCA97D"/>
    <w:rsid w:val="3B638AD2"/>
    <w:rsid w:val="3BD91BF2"/>
    <w:rsid w:val="3BEFA5F6"/>
    <w:rsid w:val="3BF7908C"/>
    <w:rsid w:val="3BFA8A5E"/>
    <w:rsid w:val="3BFF2A26"/>
    <w:rsid w:val="3CFEFE96"/>
    <w:rsid w:val="3D65A491"/>
    <w:rsid w:val="3D6BA6FC"/>
    <w:rsid w:val="3D76B57B"/>
    <w:rsid w:val="3DEFE09B"/>
    <w:rsid w:val="3DF4BE6F"/>
    <w:rsid w:val="3DF76EC4"/>
    <w:rsid w:val="3DFF3B9A"/>
    <w:rsid w:val="3DFF638F"/>
    <w:rsid w:val="3E2F0818"/>
    <w:rsid w:val="3EBDF11F"/>
    <w:rsid w:val="3ED9E2BB"/>
    <w:rsid w:val="3EDF7431"/>
    <w:rsid w:val="3EFFFE9E"/>
    <w:rsid w:val="3F2ED1A9"/>
    <w:rsid w:val="3F3F7035"/>
    <w:rsid w:val="3F5F8BBB"/>
    <w:rsid w:val="3F6DD6A3"/>
    <w:rsid w:val="3F6FC67E"/>
    <w:rsid w:val="3F6FD379"/>
    <w:rsid w:val="3F775A22"/>
    <w:rsid w:val="3F9B5428"/>
    <w:rsid w:val="3FABA64C"/>
    <w:rsid w:val="3FB6F1A8"/>
    <w:rsid w:val="3FC94284"/>
    <w:rsid w:val="3FD49AE1"/>
    <w:rsid w:val="3FEB883F"/>
    <w:rsid w:val="3FED936A"/>
    <w:rsid w:val="3FF2C006"/>
    <w:rsid w:val="3FF5DA5C"/>
    <w:rsid w:val="3FF7BA97"/>
    <w:rsid w:val="3FF7C43A"/>
    <w:rsid w:val="3FFB50A2"/>
    <w:rsid w:val="3FFC0A7C"/>
    <w:rsid w:val="3FFD40BE"/>
    <w:rsid w:val="3FFEAFF5"/>
    <w:rsid w:val="3FFF276E"/>
    <w:rsid w:val="3FFFC85B"/>
    <w:rsid w:val="45EB9537"/>
    <w:rsid w:val="45FDC412"/>
    <w:rsid w:val="46BF06BB"/>
    <w:rsid w:val="46F7B740"/>
    <w:rsid w:val="474CE145"/>
    <w:rsid w:val="47F58F80"/>
    <w:rsid w:val="47FE8B19"/>
    <w:rsid w:val="47FECE0E"/>
    <w:rsid w:val="47FF976D"/>
    <w:rsid w:val="47FFCCA5"/>
    <w:rsid w:val="4A37BC58"/>
    <w:rsid w:val="4A6FC2EF"/>
    <w:rsid w:val="4B1AC8B6"/>
    <w:rsid w:val="4BD95035"/>
    <w:rsid w:val="4C7F581D"/>
    <w:rsid w:val="4DEF6AB1"/>
    <w:rsid w:val="4EDC4620"/>
    <w:rsid w:val="4EF32B14"/>
    <w:rsid w:val="4EFE7C29"/>
    <w:rsid w:val="4F7FEB1A"/>
    <w:rsid w:val="4FDFADAC"/>
    <w:rsid w:val="4FEEFBD4"/>
    <w:rsid w:val="4FF35F1C"/>
    <w:rsid w:val="4FFF8C63"/>
    <w:rsid w:val="4FFFD3DB"/>
    <w:rsid w:val="4FFFFC5C"/>
    <w:rsid w:val="51FBCBFB"/>
    <w:rsid w:val="52AD99CD"/>
    <w:rsid w:val="52DD47DF"/>
    <w:rsid w:val="53DDF025"/>
    <w:rsid w:val="53F506C7"/>
    <w:rsid w:val="5577CBB8"/>
    <w:rsid w:val="55E95F6A"/>
    <w:rsid w:val="565FFF30"/>
    <w:rsid w:val="567B9D5E"/>
    <w:rsid w:val="56BFCE6C"/>
    <w:rsid w:val="572F8D89"/>
    <w:rsid w:val="57354A40"/>
    <w:rsid w:val="575D9480"/>
    <w:rsid w:val="57E90DC5"/>
    <w:rsid w:val="57EA2B9C"/>
    <w:rsid w:val="57F7ABBB"/>
    <w:rsid w:val="57FE2EAA"/>
    <w:rsid w:val="57FE7D47"/>
    <w:rsid w:val="57FEA892"/>
    <w:rsid w:val="57FF3F67"/>
    <w:rsid w:val="599D0AE6"/>
    <w:rsid w:val="59F2A653"/>
    <w:rsid w:val="59F79596"/>
    <w:rsid w:val="59FBEDD9"/>
    <w:rsid w:val="5A2B92FD"/>
    <w:rsid w:val="5A3FA2D2"/>
    <w:rsid w:val="5A96ECC4"/>
    <w:rsid w:val="5ABEBFC3"/>
    <w:rsid w:val="5AE7F9C2"/>
    <w:rsid w:val="5B6B0DAD"/>
    <w:rsid w:val="5B7FA7C1"/>
    <w:rsid w:val="5BAEF842"/>
    <w:rsid w:val="5BD7E54F"/>
    <w:rsid w:val="5BEBF60C"/>
    <w:rsid w:val="5BFDFFAD"/>
    <w:rsid w:val="5CBECF85"/>
    <w:rsid w:val="5CCFA77E"/>
    <w:rsid w:val="5CFF47F1"/>
    <w:rsid w:val="5D2BD19F"/>
    <w:rsid w:val="5D3F77F0"/>
    <w:rsid w:val="5D7F5368"/>
    <w:rsid w:val="5D7FC3BA"/>
    <w:rsid w:val="5DBD076C"/>
    <w:rsid w:val="5E1F25C3"/>
    <w:rsid w:val="5EAE9334"/>
    <w:rsid w:val="5EFBAE85"/>
    <w:rsid w:val="5F1FEA48"/>
    <w:rsid w:val="5F5BDBF8"/>
    <w:rsid w:val="5F5ED7D7"/>
    <w:rsid w:val="5F5FC3E7"/>
    <w:rsid w:val="5F6FAD7D"/>
    <w:rsid w:val="5F7B1182"/>
    <w:rsid w:val="5F7E5F21"/>
    <w:rsid w:val="5F8DA3FE"/>
    <w:rsid w:val="5FB3E15F"/>
    <w:rsid w:val="5FB7A6F2"/>
    <w:rsid w:val="5FCD9818"/>
    <w:rsid w:val="5FCF70DE"/>
    <w:rsid w:val="5FDE93FE"/>
    <w:rsid w:val="5FF37270"/>
    <w:rsid w:val="5FF77B18"/>
    <w:rsid w:val="5FF81DB6"/>
    <w:rsid w:val="5FF922C1"/>
    <w:rsid w:val="5FFDB1B6"/>
    <w:rsid w:val="5FFE1E1B"/>
    <w:rsid w:val="5FFF39CB"/>
    <w:rsid w:val="61AA5C88"/>
    <w:rsid w:val="635FF4FC"/>
    <w:rsid w:val="636F6DF3"/>
    <w:rsid w:val="63A39F62"/>
    <w:rsid w:val="63BC4C4F"/>
    <w:rsid w:val="63FB4338"/>
    <w:rsid w:val="63FF4A97"/>
    <w:rsid w:val="64EE89F2"/>
    <w:rsid w:val="65EC1FE1"/>
    <w:rsid w:val="65F4E45F"/>
    <w:rsid w:val="661D968A"/>
    <w:rsid w:val="673F55B3"/>
    <w:rsid w:val="6795180E"/>
    <w:rsid w:val="67B7F2ED"/>
    <w:rsid w:val="67BA36A1"/>
    <w:rsid w:val="67C592E0"/>
    <w:rsid w:val="6884035B"/>
    <w:rsid w:val="68BF4250"/>
    <w:rsid w:val="69EF0CEB"/>
    <w:rsid w:val="6ADE975B"/>
    <w:rsid w:val="6B74752E"/>
    <w:rsid w:val="6B759E10"/>
    <w:rsid w:val="6B9E953C"/>
    <w:rsid w:val="6BEB3E9A"/>
    <w:rsid w:val="6BEE4F69"/>
    <w:rsid w:val="6CFCF3CF"/>
    <w:rsid w:val="6D3B7158"/>
    <w:rsid w:val="6D5E82A8"/>
    <w:rsid w:val="6D757015"/>
    <w:rsid w:val="6D7BBFEA"/>
    <w:rsid w:val="6DE5C101"/>
    <w:rsid w:val="6DFE4C3A"/>
    <w:rsid w:val="6E376886"/>
    <w:rsid w:val="6E3FA8E4"/>
    <w:rsid w:val="6E6BF642"/>
    <w:rsid w:val="6E6FC4A5"/>
    <w:rsid w:val="6EBF563E"/>
    <w:rsid w:val="6ED62FE8"/>
    <w:rsid w:val="6EF5B7AC"/>
    <w:rsid w:val="6EFF3751"/>
    <w:rsid w:val="6EFFBEDE"/>
    <w:rsid w:val="6F771EBD"/>
    <w:rsid w:val="6F7F6B92"/>
    <w:rsid w:val="6FA676D4"/>
    <w:rsid w:val="6FB768E1"/>
    <w:rsid w:val="6FBF0237"/>
    <w:rsid w:val="6FDDAAD8"/>
    <w:rsid w:val="6FDE3D37"/>
    <w:rsid w:val="6FDFFB7D"/>
    <w:rsid w:val="6FF0F5E1"/>
    <w:rsid w:val="6FF4740C"/>
    <w:rsid w:val="6FF5D1EC"/>
    <w:rsid w:val="6FF655C2"/>
    <w:rsid w:val="6FFB1C26"/>
    <w:rsid w:val="6FFB1D1D"/>
    <w:rsid w:val="6FFD1801"/>
    <w:rsid w:val="6FFF2F1E"/>
    <w:rsid w:val="6FFF9706"/>
    <w:rsid w:val="70F207F0"/>
    <w:rsid w:val="71EFBDB8"/>
    <w:rsid w:val="72DDF87C"/>
    <w:rsid w:val="737F22B0"/>
    <w:rsid w:val="73B7D844"/>
    <w:rsid w:val="73B97587"/>
    <w:rsid w:val="73FDA967"/>
    <w:rsid w:val="73FE91EC"/>
    <w:rsid w:val="747F96F3"/>
    <w:rsid w:val="74F3F25F"/>
    <w:rsid w:val="7528DCD3"/>
    <w:rsid w:val="754DFA65"/>
    <w:rsid w:val="7577F513"/>
    <w:rsid w:val="7579067E"/>
    <w:rsid w:val="75A44878"/>
    <w:rsid w:val="75DAE4C8"/>
    <w:rsid w:val="75F5049A"/>
    <w:rsid w:val="75FDCAD5"/>
    <w:rsid w:val="75FEEFC9"/>
    <w:rsid w:val="75FF3715"/>
    <w:rsid w:val="766F135C"/>
    <w:rsid w:val="76EFA92E"/>
    <w:rsid w:val="76F43FEE"/>
    <w:rsid w:val="76FF5D14"/>
    <w:rsid w:val="7737A5D4"/>
    <w:rsid w:val="773EAC24"/>
    <w:rsid w:val="7757AC6C"/>
    <w:rsid w:val="776763FD"/>
    <w:rsid w:val="777D99E9"/>
    <w:rsid w:val="777FD1C7"/>
    <w:rsid w:val="779BB2B3"/>
    <w:rsid w:val="779F705F"/>
    <w:rsid w:val="77A540A0"/>
    <w:rsid w:val="77A73BBD"/>
    <w:rsid w:val="77AFB106"/>
    <w:rsid w:val="77BD5C40"/>
    <w:rsid w:val="77CC7792"/>
    <w:rsid w:val="77D78630"/>
    <w:rsid w:val="77DD318C"/>
    <w:rsid w:val="77DE460F"/>
    <w:rsid w:val="77DF0EC1"/>
    <w:rsid w:val="77DFB435"/>
    <w:rsid w:val="77F2BE4F"/>
    <w:rsid w:val="77F8864E"/>
    <w:rsid w:val="77FECCAD"/>
    <w:rsid w:val="77FF0C08"/>
    <w:rsid w:val="77FF3085"/>
    <w:rsid w:val="78FF9536"/>
    <w:rsid w:val="795F06E1"/>
    <w:rsid w:val="795FAABA"/>
    <w:rsid w:val="7968454A"/>
    <w:rsid w:val="797597E4"/>
    <w:rsid w:val="79B5ACC4"/>
    <w:rsid w:val="79EC6E30"/>
    <w:rsid w:val="79F7D2E4"/>
    <w:rsid w:val="79FBB3D4"/>
    <w:rsid w:val="79FF7D47"/>
    <w:rsid w:val="79FFB258"/>
    <w:rsid w:val="7A3F2670"/>
    <w:rsid w:val="7A7D35AC"/>
    <w:rsid w:val="7ABE4E09"/>
    <w:rsid w:val="7ABFD023"/>
    <w:rsid w:val="7ACFC62D"/>
    <w:rsid w:val="7AEFA801"/>
    <w:rsid w:val="7AFC9832"/>
    <w:rsid w:val="7AFDCA41"/>
    <w:rsid w:val="7AFF487E"/>
    <w:rsid w:val="7B0712C3"/>
    <w:rsid w:val="7B6D0880"/>
    <w:rsid w:val="7B7D70E0"/>
    <w:rsid w:val="7B7F375D"/>
    <w:rsid w:val="7B7FC878"/>
    <w:rsid w:val="7B9F13F9"/>
    <w:rsid w:val="7BB51367"/>
    <w:rsid w:val="7BB958C5"/>
    <w:rsid w:val="7BBF292A"/>
    <w:rsid w:val="7BC32DAE"/>
    <w:rsid w:val="7BE5E1DD"/>
    <w:rsid w:val="7BE8252C"/>
    <w:rsid w:val="7BF553DC"/>
    <w:rsid w:val="7BF728E7"/>
    <w:rsid w:val="7BF74342"/>
    <w:rsid w:val="7BFA80E1"/>
    <w:rsid w:val="7BFC2DA7"/>
    <w:rsid w:val="7BFF3CC6"/>
    <w:rsid w:val="7BFF9B6F"/>
    <w:rsid w:val="7BFFA7F3"/>
    <w:rsid w:val="7BFFA8AD"/>
    <w:rsid w:val="7BFFE4B0"/>
    <w:rsid w:val="7BFFF99F"/>
    <w:rsid w:val="7C34D2BA"/>
    <w:rsid w:val="7C7ECA61"/>
    <w:rsid w:val="7CC7FA25"/>
    <w:rsid w:val="7CD1A6D9"/>
    <w:rsid w:val="7CEC27EE"/>
    <w:rsid w:val="7CF73EB2"/>
    <w:rsid w:val="7CFFEE83"/>
    <w:rsid w:val="7D3F0A6E"/>
    <w:rsid w:val="7D3FA4F4"/>
    <w:rsid w:val="7D6D8F2A"/>
    <w:rsid w:val="7D7FED45"/>
    <w:rsid w:val="7D8FE684"/>
    <w:rsid w:val="7DBFA4EA"/>
    <w:rsid w:val="7DCDCAA3"/>
    <w:rsid w:val="7DD77371"/>
    <w:rsid w:val="7DDB3849"/>
    <w:rsid w:val="7DE9A7DA"/>
    <w:rsid w:val="7DEF98CC"/>
    <w:rsid w:val="7DFD0A40"/>
    <w:rsid w:val="7DFD2B9E"/>
    <w:rsid w:val="7DFE1692"/>
    <w:rsid w:val="7E57F088"/>
    <w:rsid w:val="7E5F2B28"/>
    <w:rsid w:val="7E675F4B"/>
    <w:rsid w:val="7E69DE28"/>
    <w:rsid w:val="7E7BFCCE"/>
    <w:rsid w:val="7E7F5B6E"/>
    <w:rsid w:val="7E7FADFB"/>
    <w:rsid w:val="7E8D1E48"/>
    <w:rsid w:val="7E9BAB2E"/>
    <w:rsid w:val="7EB91F22"/>
    <w:rsid w:val="7EEE371F"/>
    <w:rsid w:val="7EFDFF94"/>
    <w:rsid w:val="7F05823E"/>
    <w:rsid w:val="7F1E16B3"/>
    <w:rsid w:val="7F370278"/>
    <w:rsid w:val="7F3F7EA6"/>
    <w:rsid w:val="7F3F874E"/>
    <w:rsid w:val="7F4F5BEC"/>
    <w:rsid w:val="7F5F2215"/>
    <w:rsid w:val="7F696921"/>
    <w:rsid w:val="7F6F3FF6"/>
    <w:rsid w:val="7F75AE3C"/>
    <w:rsid w:val="7F7B0559"/>
    <w:rsid w:val="7F7D99C4"/>
    <w:rsid w:val="7F7E4FA3"/>
    <w:rsid w:val="7F7F3EDE"/>
    <w:rsid w:val="7F7F8661"/>
    <w:rsid w:val="7F9E9E6F"/>
    <w:rsid w:val="7F9FA7CE"/>
    <w:rsid w:val="7FAFD546"/>
    <w:rsid w:val="7FB736AC"/>
    <w:rsid w:val="7FBCA9B4"/>
    <w:rsid w:val="7FBCAC68"/>
    <w:rsid w:val="7FBEDED7"/>
    <w:rsid w:val="7FBF695F"/>
    <w:rsid w:val="7FBFAD66"/>
    <w:rsid w:val="7FCFA0C4"/>
    <w:rsid w:val="7FCFD4F1"/>
    <w:rsid w:val="7FDDE1A0"/>
    <w:rsid w:val="7FDF6A91"/>
    <w:rsid w:val="7FDFBAF5"/>
    <w:rsid w:val="7FE391FF"/>
    <w:rsid w:val="7FED3872"/>
    <w:rsid w:val="7FEE7CC9"/>
    <w:rsid w:val="7FEF6B08"/>
    <w:rsid w:val="7FF5CFD6"/>
    <w:rsid w:val="7FF7C9A2"/>
    <w:rsid w:val="7FF8B142"/>
    <w:rsid w:val="7FF927AB"/>
    <w:rsid w:val="7FFAD682"/>
    <w:rsid w:val="7FFBF994"/>
    <w:rsid w:val="7FFD96B8"/>
    <w:rsid w:val="7FFDA071"/>
    <w:rsid w:val="7FFEB131"/>
    <w:rsid w:val="7FFEF4FB"/>
    <w:rsid w:val="7FFF0B80"/>
    <w:rsid w:val="7FFF1A0B"/>
    <w:rsid w:val="7FFF1C91"/>
    <w:rsid w:val="7FFF1F5E"/>
    <w:rsid w:val="7FFF2A13"/>
    <w:rsid w:val="7FFF9D6D"/>
    <w:rsid w:val="7FFFC8F3"/>
    <w:rsid w:val="7FFFCEA7"/>
    <w:rsid w:val="7FFFF66D"/>
    <w:rsid w:val="83D216C4"/>
    <w:rsid w:val="8C1F18DB"/>
    <w:rsid w:val="8CAF7E0D"/>
    <w:rsid w:val="8F763868"/>
    <w:rsid w:val="8FFFB8BC"/>
    <w:rsid w:val="91B5B9A3"/>
    <w:rsid w:val="96BD4764"/>
    <w:rsid w:val="97581410"/>
    <w:rsid w:val="97FC15CA"/>
    <w:rsid w:val="99FDEBD1"/>
    <w:rsid w:val="9BFBF48F"/>
    <w:rsid w:val="9BFD66D0"/>
    <w:rsid w:val="9DD69F4D"/>
    <w:rsid w:val="9E5FCA09"/>
    <w:rsid w:val="9F1F0896"/>
    <w:rsid w:val="9F6F462D"/>
    <w:rsid w:val="9F7D083A"/>
    <w:rsid w:val="9F7E7737"/>
    <w:rsid w:val="9FCFC1FC"/>
    <w:rsid w:val="9FE7A86C"/>
    <w:rsid w:val="9FED8D7D"/>
    <w:rsid w:val="9FFB9F6B"/>
    <w:rsid w:val="9FFD047F"/>
    <w:rsid w:val="9FFDD005"/>
    <w:rsid w:val="9FFDDF9C"/>
    <w:rsid w:val="A27B42AA"/>
    <w:rsid w:val="A2DACB00"/>
    <w:rsid w:val="A3FF0A62"/>
    <w:rsid w:val="A51F2CF1"/>
    <w:rsid w:val="A6FFB4D1"/>
    <w:rsid w:val="A7033ACA"/>
    <w:rsid w:val="A75B7B47"/>
    <w:rsid w:val="A7DFC5F7"/>
    <w:rsid w:val="A7EF51B9"/>
    <w:rsid w:val="A7FF3AE5"/>
    <w:rsid w:val="AB3F38F3"/>
    <w:rsid w:val="AB4FAC26"/>
    <w:rsid w:val="AC7F44F4"/>
    <w:rsid w:val="AD5E5207"/>
    <w:rsid w:val="AD6FE9B1"/>
    <w:rsid w:val="ADFDF36D"/>
    <w:rsid w:val="AEB7E471"/>
    <w:rsid w:val="AEBB832F"/>
    <w:rsid w:val="AEDB9F43"/>
    <w:rsid w:val="AEEB8E4B"/>
    <w:rsid w:val="AEFFA2BE"/>
    <w:rsid w:val="AF6797E0"/>
    <w:rsid w:val="AF872BF8"/>
    <w:rsid w:val="AFA32B43"/>
    <w:rsid w:val="AFEE6361"/>
    <w:rsid w:val="AFFB22D3"/>
    <w:rsid w:val="AFFB253A"/>
    <w:rsid w:val="B26E984C"/>
    <w:rsid w:val="B2FA5255"/>
    <w:rsid w:val="B3DDCFF8"/>
    <w:rsid w:val="B3E6834B"/>
    <w:rsid w:val="B3F7918E"/>
    <w:rsid w:val="B46DCAC3"/>
    <w:rsid w:val="B4DFAB7E"/>
    <w:rsid w:val="B59F4431"/>
    <w:rsid w:val="B5A9230D"/>
    <w:rsid w:val="B5B52D20"/>
    <w:rsid w:val="B625EBE3"/>
    <w:rsid w:val="B6DE3907"/>
    <w:rsid w:val="B7275DF5"/>
    <w:rsid w:val="B72E7DB8"/>
    <w:rsid w:val="B73FBB17"/>
    <w:rsid w:val="B75E41D9"/>
    <w:rsid w:val="B77FFB0D"/>
    <w:rsid w:val="B7DDEC65"/>
    <w:rsid w:val="B7F41275"/>
    <w:rsid w:val="B861E3F4"/>
    <w:rsid w:val="B89F7A5D"/>
    <w:rsid w:val="B9FCE0E1"/>
    <w:rsid w:val="BB7D2507"/>
    <w:rsid w:val="BBDAF02C"/>
    <w:rsid w:val="BCD43C7F"/>
    <w:rsid w:val="BD5AE26B"/>
    <w:rsid w:val="BDAE6341"/>
    <w:rsid w:val="BDDF9A1B"/>
    <w:rsid w:val="BDEF5399"/>
    <w:rsid w:val="BDFC2EF8"/>
    <w:rsid w:val="BE6EE347"/>
    <w:rsid w:val="BED2D12D"/>
    <w:rsid w:val="BEDF121E"/>
    <w:rsid w:val="BEFDDA5B"/>
    <w:rsid w:val="BF2F2096"/>
    <w:rsid w:val="BF3EA24E"/>
    <w:rsid w:val="BF6FBB88"/>
    <w:rsid w:val="BF775499"/>
    <w:rsid w:val="BF9FBC09"/>
    <w:rsid w:val="BFB6AA42"/>
    <w:rsid w:val="BFBD53DD"/>
    <w:rsid w:val="BFD1D40C"/>
    <w:rsid w:val="BFD7576A"/>
    <w:rsid w:val="BFDDD81F"/>
    <w:rsid w:val="BFE7B51A"/>
    <w:rsid w:val="BFEB4AE2"/>
    <w:rsid w:val="BFEFB2F4"/>
    <w:rsid w:val="BFF4D9EF"/>
    <w:rsid w:val="BFF8A0AA"/>
    <w:rsid w:val="BFFF3243"/>
    <w:rsid w:val="BFFF8E0E"/>
    <w:rsid w:val="C1E7BC28"/>
    <w:rsid w:val="C3F94ABB"/>
    <w:rsid w:val="C69735D4"/>
    <w:rsid w:val="C73EF5B6"/>
    <w:rsid w:val="C7AFD087"/>
    <w:rsid w:val="C7F62643"/>
    <w:rsid w:val="CBFDD478"/>
    <w:rsid w:val="CC334C7C"/>
    <w:rsid w:val="CCDFD891"/>
    <w:rsid w:val="CDDF4EBE"/>
    <w:rsid w:val="CEF6C8AC"/>
    <w:rsid w:val="CF2A382E"/>
    <w:rsid w:val="CF2B3BE3"/>
    <w:rsid w:val="CF9E3790"/>
    <w:rsid w:val="CFBB2502"/>
    <w:rsid w:val="CFD76506"/>
    <w:rsid w:val="CFF2BC39"/>
    <w:rsid w:val="CFF99DF1"/>
    <w:rsid w:val="CFF9D594"/>
    <w:rsid w:val="CFFFE770"/>
    <w:rsid w:val="D4FE81E1"/>
    <w:rsid w:val="D63FD404"/>
    <w:rsid w:val="D6E443DB"/>
    <w:rsid w:val="D6E76328"/>
    <w:rsid w:val="D7B320C2"/>
    <w:rsid w:val="D7D53A12"/>
    <w:rsid w:val="D7F7C326"/>
    <w:rsid w:val="D7FE6EB3"/>
    <w:rsid w:val="D7FF7CB2"/>
    <w:rsid w:val="D937CDF6"/>
    <w:rsid w:val="D97A03DF"/>
    <w:rsid w:val="D97DD66F"/>
    <w:rsid w:val="D9DE2AFE"/>
    <w:rsid w:val="DA378838"/>
    <w:rsid w:val="DAFF2D16"/>
    <w:rsid w:val="DB5E0E91"/>
    <w:rsid w:val="DBC68049"/>
    <w:rsid w:val="DBDFEE80"/>
    <w:rsid w:val="DBFF1D21"/>
    <w:rsid w:val="DBFF4B1A"/>
    <w:rsid w:val="DBFF71CB"/>
    <w:rsid w:val="DC741C1C"/>
    <w:rsid w:val="DCB70088"/>
    <w:rsid w:val="DCE5E051"/>
    <w:rsid w:val="DD5FD066"/>
    <w:rsid w:val="DD6F1C04"/>
    <w:rsid w:val="DDBFBADB"/>
    <w:rsid w:val="DDDE1CD2"/>
    <w:rsid w:val="DDF395A0"/>
    <w:rsid w:val="DE9CFC47"/>
    <w:rsid w:val="DEF991BB"/>
    <w:rsid w:val="DEFF260F"/>
    <w:rsid w:val="DF1DB4DC"/>
    <w:rsid w:val="DF2FC7C6"/>
    <w:rsid w:val="DF43BBFB"/>
    <w:rsid w:val="DF750DB2"/>
    <w:rsid w:val="DF9D8806"/>
    <w:rsid w:val="DFEF5D71"/>
    <w:rsid w:val="DFEF638A"/>
    <w:rsid w:val="DFF37AF1"/>
    <w:rsid w:val="DFF7AAE2"/>
    <w:rsid w:val="DFFAACE2"/>
    <w:rsid w:val="DFFB592D"/>
    <w:rsid w:val="DFFE3B1B"/>
    <w:rsid w:val="DFFEDFE0"/>
    <w:rsid w:val="DFFF1118"/>
    <w:rsid w:val="DFFF9C6B"/>
    <w:rsid w:val="DFFFAD5F"/>
    <w:rsid w:val="E1DDBF53"/>
    <w:rsid w:val="E2FA830C"/>
    <w:rsid w:val="E5F9E7C3"/>
    <w:rsid w:val="E63DF392"/>
    <w:rsid w:val="E7EE5947"/>
    <w:rsid w:val="E7F76F2C"/>
    <w:rsid w:val="E7F78294"/>
    <w:rsid w:val="E7FA8EBB"/>
    <w:rsid w:val="E7FD2090"/>
    <w:rsid w:val="E95D0B8F"/>
    <w:rsid w:val="E9DF9AB5"/>
    <w:rsid w:val="EA781955"/>
    <w:rsid w:val="EAF7D68F"/>
    <w:rsid w:val="EBCF5915"/>
    <w:rsid w:val="ECAFDF37"/>
    <w:rsid w:val="ECFFA6FF"/>
    <w:rsid w:val="ED1452CC"/>
    <w:rsid w:val="ED5F145B"/>
    <w:rsid w:val="ED7E089D"/>
    <w:rsid w:val="ED7F935B"/>
    <w:rsid w:val="EDAFD3D4"/>
    <w:rsid w:val="EDFF418B"/>
    <w:rsid w:val="EDFF4C68"/>
    <w:rsid w:val="EDFFEF24"/>
    <w:rsid w:val="EEB734A5"/>
    <w:rsid w:val="EEBF7DE6"/>
    <w:rsid w:val="EED4732F"/>
    <w:rsid w:val="EEEBC8A1"/>
    <w:rsid w:val="EEFDA949"/>
    <w:rsid w:val="EF5B5F8D"/>
    <w:rsid w:val="EF783CA4"/>
    <w:rsid w:val="EF7F66AC"/>
    <w:rsid w:val="EF9FB7E8"/>
    <w:rsid w:val="EFCF0DE4"/>
    <w:rsid w:val="EFDD9AA1"/>
    <w:rsid w:val="EFDF4907"/>
    <w:rsid w:val="EFDF5FA6"/>
    <w:rsid w:val="EFED4CA2"/>
    <w:rsid w:val="EFF9B2CA"/>
    <w:rsid w:val="EFFE592A"/>
    <w:rsid w:val="EFFF055A"/>
    <w:rsid w:val="EFFFD3AC"/>
    <w:rsid w:val="EFFFD624"/>
    <w:rsid w:val="F1BCD60D"/>
    <w:rsid w:val="F1FDDF1D"/>
    <w:rsid w:val="F2F24F39"/>
    <w:rsid w:val="F2FE0469"/>
    <w:rsid w:val="F2FFD00D"/>
    <w:rsid w:val="F375C89F"/>
    <w:rsid w:val="F37FA09E"/>
    <w:rsid w:val="F3A7D83A"/>
    <w:rsid w:val="F3B5F035"/>
    <w:rsid w:val="F3DBC5C7"/>
    <w:rsid w:val="F3FB7744"/>
    <w:rsid w:val="F3FF271D"/>
    <w:rsid w:val="F4D4B902"/>
    <w:rsid w:val="F53FCF93"/>
    <w:rsid w:val="F5DDCD2A"/>
    <w:rsid w:val="F5EF2BD6"/>
    <w:rsid w:val="F5F7A422"/>
    <w:rsid w:val="F5FDA50A"/>
    <w:rsid w:val="F5FF0BA4"/>
    <w:rsid w:val="F5FFB024"/>
    <w:rsid w:val="F63EE762"/>
    <w:rsid w:val="F6670482"/>
    <w:rsid w:val="F679DCFA"/>
    <w:rsid w:val="F6BF7438"/>
    <w:rsid w:val="F6DF12FB"/>
    <w:rsid w:val="F6FD0E6D"/>
    <w:rsid w:val="F73715F8"/>
    <w:rsid w:val="F76FF747"/>
    <w:rsid w:val="F771B487"/>
    <w:rsid w:val="F77B82A7"/>
    <w:rsid w:val="F77FA06D"/>
    <w:rsid w:val="F79B4782"/>
    <w:rsid w:val="F79FB5A0"/>
    <w:rsid w:val="F7B45017"/>
    <w:rsid w:val="F7B7A750"/>
    <w:rsid w:val="F7BEF094"/>
    <w:rsid w:val="F7BF4EDA"/>
    <w:rsid w:val="F7DE8056"/>
    <w:rsid w:val="F7DEB20E"/>
    <w:rsid w:val="F7DFE774"/>
    <w:rsid w:val="F7EA7032"/>
    <w:rsid w:val="F7ED8142"/>
    <w:rsid w:val="F7EDDF2F"/>
    <w:rsid w:val="F7F31197"/>
    <w:rsid w:val="F7F7D1F0"/>
    <w:rsid w:val="F7F9D04C"/>
    <w:rsid w:val="F7FBCC58"/>
    <w:rsid w:val="F7FBD118"/>
    <w:rsid w:val="F7FCE544"/>
    <w:rsid w:val="F7FD8534"/>
    <w:rsid w:val="F7FDD9DB"/>
    <w:rsid w:val="F7FF7320"/>
    <w:rsid w:val="F7FF8DA6"/>
    <w:rsid w:val="F87DA512"/>
    <w:rsid w:val="F96F9555"/>
    <w:rsid w:val="F9BF041E"/>
    <w:rsid w:val="F9C7B43A"/>
    <w:rsid w:val="F9DE5A91"/>
    <w:rsid w:val="F9EC2FE4"/>
    <w:rsid w:val="F9ED3DE1"/>
    <w:rsid w:val="F9F5DFE2"/>
    <w:rsid w:val="F9F61B91"/>
    <w:rsid w:val="F9F7AD8A"/>
    <w:rsid w:val="FA7FF771"/>
    <w:rsid w:val="FAC72C08"/>
    <w:rsid w:val="FAD921E7"/>
    <w:rsid w:val="FAEF92B9"/>
    <w:rsid w:val="FAFDAC6E"/>
    <w:rsid w:val="FAFF8B3A"/>
    <w:rsid w:val="FB5FB18C"/>
    <w:rsid w:val="FB6F771B"/>
    <w:rsid w:val="FB75FBE5"/>
    <w:rsid w:val="FBB8E8D4"/>
    <w:rsid w:val="FBBB1DB3"/>
    <w:rsid w:val="FBCA2CAF"/>
    <w:rsid w:val="FBD27A0C"/>
    <w:rsid w:val="FBE93344"/>
    <w:rsid w:val="FBEAD0CD"/>
    <w:rsid w:val="FBED453F"/>
    <w:rsid w:val="FBF1B138"/>
    <w:rsid w:val="FBF7C97A"/>
    <w:rsid w:val="FBFBF214"/>
    <w:rsid w:val="FBFD1650"/>
    <w:rsid w:val="FBFF1A4C"/>
    <w:rsid w:val="FBFF80D9"/>
    <w:rsid w:val="FBFFEA2C"/>
    <w:rsid w:val="FC2B7BBF"/>
    <w:rsid w:val="FC3FDF74"/>
    <w:rsid w:val="FC4D7D10"/>
    <w:rsid w:val="FC9F39C1"/>
    <w:rsid w:val="FCB431CA"/>
    <w:rsid w:val="FCBF46A4"/>
    <w:rsid w:val="FCEF8114"/>
    <w:rsid w:val="FCF1B239"/>
    <w:rsid w:val="FCF524F1"/>
    <w:rsid w:val="FCFE917D"/>
    <w:rsid w:val="FD1F9BB1"/>
    <w:rsid w:val="FD3D3E37"/>
    <w:rsid w:val="FD5F3F42"/>
    <w:rsid w:val="FD6E8401"/>
    <w:rsid w:val="FD7F8EED"/>
    <w:rsid w:val="FD9F011C"/>
    <w:rsid w:val="FDBFD15A"/>
    <w:rsid w:val="FDD5245B"/>
    <w:rsid w:val="FDD6C999"/>
    <w:rsid w:val="FDDDC564"/>
    <w:rsid w:val="FDEDB9B4"/>
    <w:rsid w:val="FDF74E1C"/>
    <w:rsid w:val="FDFB74A4"/>
    <w:rsid w:val="FDFBA271"/>
    <w:rsid w:val="FDFE6204"/>
    <w:rsid w:val="FDFF641D"/>
    <w:rsid w:val="FDFFB2C5"/>
    <w:rsid w:val="FE7DE97F"/>
    <w:rsid w:val="FE7F2E53"/>
    <w:rsid w:val="FE938CBA"/>
    <w:rsid w:val="FEB5576C"/>
    <w:rsid w:val="FEB7F5CE"/>
    <w:rsid w:val="FEBE7F26"/>
    <w:rsid w:val="FEBFC4E2"/>
    <w:rsid w:val="FEC7003D"/>
    <w:rsid w:val="FED25512"/>
    <w:rsid w:val="FEDDA77C"/>
    <w:rsid w:val="FEE0F24D"/>
    <w:rsid w:val="FEE284D0"/>
    <w:rsid w:val="FEE70F38"/>
    <w:rsid w:val="FEED6B8D"/>
    <w:rsid w:val="FEEE3088"/>
    <w:rsid w:val="FEEF1F25"/>
    <w:rsid w:val="FEF75D37"/>
    <w:rsid w:val="FEF7AA02"/>
    <w:rsid w:val="FEFC218A"/>
    <w:rsid w:val="FEFC7CC6"/>
    <w:rsid w:val="FEFD4E92"/>
    <w:rsid w:val="FEFFEE02"/>
    <w:rsid w:val="FF0B9352"/>
    <w:rsid w:val="FF4A30A2"/>
    <w:rsid w:val="FF5C1092"/>
    <w:rsid w:val="FF5FA860"/>
    <w:rsid w:val="FF6F094E"/>
    <w:rsid w:val="FF6F5945"/>
    <w:rsid w:val="FF6F71D6"/>
    <w:rsid w:val="FF6FCB2E"/>
    <w:rsid w:val="FF771B02"/>
    <w:rsid w:val="FF7DBC8F"/>
    <w:rsid w:val="FF7F1C9D"/>
    <w:rsid w:val="FF7F7D4D"/>
    <w:rsid w:val="FF92BA62"/>
    <w:rsid w:val="FF9B801F"/>
    <w:rsid w:val="FFA552E2"/>
    <w:rsid w:val="FFA991FC"/>
    <w:rsid w:val="FFAF1D17"/>
    <w:rsid w:val="FFAF73C9"/>
    <w:rsid w:val="FFB77D63"/>
    <w:rsid w:val="FFB78551"/>
    <w:rsid w:val="FFB798C4"/>
    <w:rsid w:val="FFBD95BE"/>
    <w:rsid w:val="FFC7E971"/>
    <w:rsid w:val="FFCFA66D"/>
    <w:rsid w:val="FFCFCB76"/>
    <w:rsid w:val="FFD291E0"/>
    <w:rsid w:val="FFDBA259"/>
    <w:rsid w:val="FFDC2079"/>
    <w:rsid w:val="FFDE77B7"/>
    <w:rsid w:val="FFDF5A6A"/>
    <w:rsid w:val="FFE32B8F"/>
    <w:rsid w:val="FFE6A374"/>
    <w:rsid w:val="FFE787B4"/>
    <w:rsid w:val="FFEF3506"/>
    <w:rsid w:val="FFEF519F"/>
    <w:rsid w:val="FFF3429E"/>
    <w:rsid w:val="FFF7A2C3"/>
    <w:rsid w:val="FFF7AA62"/>
    <w:rsid w:val="FFF7CBDB"/>
    <w:rsid w:val="FFFB39F4"/>
    <w:rsid w:val="FFFDDD05"/>
    <w:rsid w:val="FFFE6129"/>
    <w:rsid w:val="FFFE74ED"/>
    <w:rsid w:val="FFFEB8BF"/>
    <w:rsid w:val="FFFED46E"/>
    <w:rsid w:val="FFFEF0B0"/>
    <w:rsid w:val="FFFF1D02"/>
    <w:rsid w:val="FFFF69C6"/>
    <w:rsid w:val="FFFF6C79"/>
    <w:rsid w:val="FFFF77A7"/>
    <w:rsid w:val="FFFF9EFB"/>
    <w:rsid w:val="FFFFCCC9"/>
    <w:rsid w:val="FFFFD62F"/>
    <w:rsid w:val="FFFFD9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3">
    <w:name w:val="heading 3"/>
    <w:basedOn w:val="1"/>
    <w:next w:val="1"/>
    <w:qFormat/>
    <w:uiPriority w:val="0"/>
    <w:pPr>
      <w:keepNext/>
      <w:keepLines/>
      <w:widowControl/>
      <w:numPr>
        <w:ilvl w:val="2"/>
        <w:numId w:val="1"/>
      </w:numPr>
      <w:spacing w:before="260" w:afterLines="50"/>
      <w:jc w:val="left"/>
      <w:outlineLvl w:val="2"/>
    </w:pPr>
    <w:rPr>
      <w:rFonts w:ascii="Times New Roman" w:eastAsia="宋体"/>
      <w:b/>
      <w:bCs/>
      <w:kern w:val="0"/>
      <w:sz w:val="32"/>
      <w:szCs w:val="32"/>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ind w:firstLine="420"/>
    </w:pPr>
    <w:rPr>
      <w:rFonts w:ascii="仿宋" w:hAnsi="仿宋" w:eastAsia="仿宋_GB2312"/>
      <w:snapToGrid w:val="0"/>
      <w:sz w:val="32"/>
    </w:rPr>
  </w:style>
  <w:style w:type="paragraph" w:styleId="6">
    <w:name w:val="annotation text"/>
    <w:basedOn w:val="1"/>
    <w:qFormat/>
    <w:uiPriority w:val="0"/>
    <w:pPr>
      <w:jc w:val="left"/>
    </w:pPr>
  </w:style>
  <w:style w:type="paragraph" w:styleId="7">
    <w:name w:val="Body Text"/>
    <w:basedOn w:val="1"/>
    <w:next w:val="1"/>
    <w:link w:val="24"/>
    <w:qFormat/>
    <w:uiPriority w:val="0"/>
    <w:rPr>
      <w:rFonts w:ascii="Times New Roman" w:hAnsi="Times New Roman" w:eastAsia="仿宋_GB2312"/>
      <w:sz w:val="24"/>
      <w:szCs w:val="20"/>
    </w:rPr>
  </w:style>
  <w:style w:type="paragraph" w:styleId="8">
    <w:name w:val="Body Text Indent"/>
    <w:basedOn w:val="1"/>
    <w:qFormat/>
    <w:uiPriority w:val="0"/>
    <w:pPr>
      <w:ind w:left="420"/>
    </w:pPr>
    <w:rPr>
      <w:rFonts w:ascii="仿宋_GB2312" w:hAnsi="Calibri" w:eastAsia="仿宋_GB2312" w:cs="Times New Roman"/>
      <w:sz w:val="32"/>
      <w:szCs w:val="24"/>
    </w:rPr>
  </w:style>
  <w:style w:type="paragraph" w:styleId="9">
    <w:name w:val="Plain Text"/>
    <w:basedOn w:val="1"/>
    <w:qFormat/>
    <w:uiPriority w:val="0"/>
    <w:rPr>
      <w:rFonts w:ascii="宋体" w:hAnsi="Courier New" w:cs="Times New Roman"/>
      <w:szCs w:val="20"/>
    </w:rPr>
  </w:style>
  <w:style w:type="paragraph" w:styleId="10">
    <w:name w:val="Body Text Indent 2"/>
    <w:basedOn w:val="1"/>
    <w:qFormat/>
    <w:uiPriority w:val="0"/>
    <w:pPr>
      <w:ind w:firstLine="570"/>
    </w:pPr>
    <w:rPr>
      <w:rFonts w:ascii="Arial" w:hAnsi="Arial" w:eastAsia="仿宋_GB2312"/>
      <w:b/>
      <w:sz w:val="2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2"/>
    <w:basedOn w:val="1"/>
    <w:next w:val="1"/>
    <w:qFormat/>
    <w:uiPriority w:val="39"/>
    <w:pPr>
      <w:ind w:left="200" w:leftChars="200"/>
    </w:pPr>
  </w:style>
  <w:style w:type="paragraph" w:styleId="14">
    <w:name w:val="Body Text 2"/>
    <w:basedOn w:val="1"/>
    <w:unhideWhenUsed/>
    <w:qFormat/>
    <w:uiPriority w:val="99"/>
    <w:pPr>
      <w:spacing w:after="120" w:line="480" w:lineRule="auto"/>
    </w:p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6">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 w:type="paragraph" w:styleId="17">
    <w:name w:val="Title"/>
    <w:basedOn w:val="1"/>
    <w:next w:val="1"/>
    <w:qFormat/>
    <w:uiPriority w:val="0"/>
    <w:pPr>
      <w:widowControl w:val="0"/>
      <w:spacing w:before="240" w:after="60"/>
      <w:ind w:left="0" w:right="0"/>
      <w:jc w:val="center"/>
      <w:outlineLvl w:val="0"/>
    </w:pPr>
    <w:rPr>
      <w:rFonts w:ascii="Cambria" w:hAnsi="Cambria" w:eastAsia="宋体" w:cs="Times New Roman"/>
      <w:b/>
      <w:bCs/>
      <w:kern w:val="2"/>
      <w:sz w:val="32"/>
      <w:szCs w:val="32"/>
      <w:lang w:val="en-US" w:eastAsia="zh-CN" w:bidi="ar-SA"/>
    </w:rPr>
  </w:style>
  <w:style w:type="paragraph" w:styleId="18">
    <w:name w:val="Body Text First Indent"/>
    <w:basedOn w:val="7"/>
    <w:next w:val="19"/>
    <w:unhideWhenUsed/>
    <w:qFormat/>
    <w:uiPriority w:val="99"/>
    <w:pPr>
      <w:widowControl w:val="0"/>
      <w:spacing w:before="100" w:beforeLines="0" w:beforeAutospacing="1" w:after="120" w:afterLines="0" w:line="360" w:lineRule="auto"/>
      <w:ind w:firstLine="420" w:firstLineChars="100"/>
      <w:jc w:val="both"/>
    </w:pPr>
    <w:rPr>
      <w:rFonts w:hint="default" w:ascii="Times New Roman" w:hAnsi="Times New Roman" w:eastAsia="宋体" w:cs="Times New Roman"/>
      <w:kern w:val="2"/>
      <w:sz w:val="21"/>
      <w:szCs w:val="22"/>
      <w:lang w:val="en-US" w:eastAsia="zh-CN" w:bidi="ar-SA"/>
    </w:rPr>
  </w:style>
  <w:style w:type="paragraph" w:styleId="19">
    <w:name w:val="Body Text First Indent 2"/>
    <w:basedOn w:val="8"/>
    <w:unhideWhenUsed/>
    <w:qFormat/>
    <w:uiPriority w:val="0"/>
    <w:pPr>
      <w:widowControl w:val="0"/>
      <w:adjustRightInd w:val="0"/>
      <w:spacing w:beforeLines="0" w:afterLines="0"/>
      <w:ind w:left="960" w:firstLine="420" w:firstLineChars="200"/>
    </w:pPr>
    <w:rPr>
      <w:rFonts w:hint="eastAsia" w:ascii="楷体_GB2312" w:hAnsi="Times New Roman" w:eastAsia="楷体_GB2312" w:cs="Times New Roman"/>
      <w:sz w:val="28"/>
      <w:szCs w:val="20"/>
      <w:lang w:val="en-US" w:eastAsia="zh-CN" w:bidi="ar-SA"/>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rFonts w:ascii="Calibri" w:hAnsi="Calibri" w:eastAsia="宋体" w:cs="宋体"/>
      <w:kern w:val="2"/>
      <w:sz w:val="21"/>
      <w:szCs w:val="22"/>
      <w:lang w:val="en-US" w:eastAsia="zh-CN" w:bidi="ar-SA"/>
    </w:rPr>
  </w:style>
  <w:style w:type="character" w:customStyle="1" w:styleId="24">
    <w:name w:val="正文文本 Char"/>
    <w:link w:val="7"/>
    <w:qFormat/>
    <w:uiPriority w:val="0"/>
    <w:rPr>
      <w:rFonts w:ascii="Times New Roman" w:hAnsi="Times New Roman" w:eastAsia="仿宋_GB2312"/>
      <w:sz w:val="24"/>
      <w:szCs w:val="20"/>
    </w:rPr>
  </w:style>
  <w:style w:type="paragraph" w:customStyle="1" w:styleId="25">
    <w:name w:val="正文-啊"/>
    <w:qFormat/>
    <w:uiPriority w:val="0"/>
    <w:pPr>
      <w:widowControl w:val="0"/>
      <w:spacing w:before="312" w:beforeLines="100" w:line="276" w:lineRule="auto"/>
      <w:ind w:left="210" w:right="210" w:firstLine="600"/>
      <w:contextualSpacing/>
      <w:jc w:val="both"/>
    </w:pPr>
    <w:rPr>
      <w:rFonts w:ascii="微软雅黑" w:hAnsi="微软雅黑" w:eastAsia="微软雅黑" w:cs="Times New Roman"/>
      <w:color w:val="000000"/>
      <w:kern w:val="2"/>
      <w:sz w:val="24"/>
      <w:szCs w:val="21"/>
      <w:lang w:val="en-US" w:eastAsia="zh-CN" w:bidi="ar-SA"/>
    </w:rPr>
  </w:style>
  <w:style w:type="paragraph" w:customStyle="1" w:styleId="26">
    <w:name w:val="No Spacing"/>
    <w:qFormat/>
    <w:uiPriority w:val="0"/>
    <w:pPr>
      <w:widowControl w:val="0"/>
      <w:jc w:val="both"/>
    </w:pPr>
    <w:rPr>
      <w:rFonts w:ascii="Calibri" w:hAnsi="Calibri" w:eastAsia="宋体" w:cs="Times New Roman"/>
      <w:kern w:val="2"/>
      <w:sz w:val="21"/>
      <w:szCs w:val="22"/>
      <w:lang w:val="en-US" w:eastAsia="zh-CN" w:bidi="ar-SA"/>
    </w:rPr>
  </w:style>
  <w:style w:type="table" w:customStyle="1" w:styleId="27">
    <w:name w:val="Table Normal"/>
    <w:unhideWhenUsed/>
    <w:qFormat/>
    <w:uiPriority w:val="0"/>
    <w:tblPr>
      <w:tblCellMar>
        <w:top w:w="0" w:type="dxa"/>
        <w:left w:w="0" w:type="dxa"/>
        <w:bottom w:w="0" w:type="dxa"/>
        <w:right w:w="0" w:type="dxa"/>
      </w:tblCellMar>
    </w:tblPr>
  </w:style>
  <w:style w:type="paragraph" w:customStyle="1" w:styleId="28">
    <w:name w:val="Table Text"/>
    <w:basedOn w:val="1"/>
    <w:semiHidden/>
    <w:qFormat/>
    <w:uiPriority w:val="0"/>
    <w:rPr>
      <w:rFonts w:ascii="仿宋" w:hAnsi="仿宋" w:eastAsia="仿宋" w:cs="仿宋"/>
      <w:sz w:val="28"/>
      <w:szCs w:val="28"/>
      <w:lang w:val="en-US" w:eastAsia="en-US" w:bidi="ar-SA"/>
    </w:rPr>
  </w:style>
  <w:style w:type="paragraph" w:customStyle="1" w:styleId="29">
    <w:name w:val="Table Paragraph"/>
    <w:basedOn w:val="1"/>
    <w:qFormat/>
    <w:uiPriority w:val="0"/>
    <w:pPr>
      <w:autoSpaceDE w:val="0"/>
      <w:autoSpaceDN w:val="0"/>
      <w:jc w:val="left"/>
    </w:pPr>
    <w:rPr>
      <w:rFonts w:cs="宋体"/>
      <w:kern w:val="0"/>
      <w:sz w:val="22"/>
      <w:szCs w:val="22"/>
    </w:rPr>
  </w:style>
  <w:style w:type="paragraph" w:styleId="30">
    <w:name w:val="List Paragraph"/>
    <w:basedOn w:val="1"/>
    <w:qFormat/>
    <w:uiPriority w:val="1"/>
    <w:pPr>
      <w:spacing w:before="149"/>
      <w:ind w:left="140" w:firstLine="640"/>
    </w:pPr>
  </w:style>
  <w:style w:type="paragraph" w:customStyle="1" w:styleId="31">
    <w:name w:val="BodyText1I2"/>
    <w:basedOn w:val="32"/>
    <w:next w:val="33"/>
    <w:qFormat/>
    <w:uiPriority w:val="0"/>
    <w:pPr>
      <w:ind w:firstLine="420" w:firstLineChars="200"/>
    </w:pPr>
  </w:style>
  <w:style w:type="paragraph" w:customStyle="1" w:styleId="32">
    <w:name w:val="BodyTextIndent"/>
    <w:basedOn w:val="1"/>
    <w:next w:val="1"/>
    <w:qFormat/>
    <w:uiPriority w:val="0"/>
    <w:pPr>
      <w:spacing w:after="120"/>
      <w:ind w:left="420" w:leftChars="200"/>
      <w:textAlignment w:val="baseline"/>
    </w:pPr>
  </w:style>
  <w:style w:type="paragraph" w:customStyle="1" w:styleId="33">
    <w:name w:val="UserStyle_0"/>
    <w:basedOn w:val="1"/>
    <w:next w:val="1"/>
    <w:qFormat/>
    <w:uiPriority w:val="0"/>
    <w:pPr>
      <w:pBdr>
        <w:top w:val="single" w:color="000000" w:sz="4" w:space="0"/>
        <w:left w:val="single" w:color="000000" w:sz="8" w:space="0"/>
        <w:bottom w:val="single" w:color="000000" w:sz="8" w:space="0"/>
        <w:right w:val="single" w:color="000000" w:sz="4" w:space="0"/>
      </w:pBdr>
      <w:spacing w:before="100" w:beforeAutospacing="1" w:after="100" w:afterAutospacing="1" w:line="100" w:lineRule="exact"/>
      <w:jc w:val="center"/>
      <w:textAlignment w:val="baseline"/>
    </w:pPr>
    <w:rPr>
      <w:rFonts w:ascii="宋体" w:hAnsi="宋体"/>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3641</Words>
  <Characters>3897</Characters>
  <Lines>0</Lines>
  <Paragraphs>0</Paragraphs>
  <TotalTime>12</TotalTime>
  <ScaleCrop>false</ScaleCrop>
  <LinksUpToDate>false</LinksUpToDate>
  <CharactersWithSpaces>3945</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2024-07-25T03:16:00Z</dcterms:created>
  <dc:creator>MOMO</dc:creator>
  <cp:lastModifiedBy>鲸落</cp:lastModifiedBy>
  <cp:lastPrinted>2026-08-04T01:52:00Z</cp:lastPrinted>
  <dcterms:modified xsi:type="dcterms:W3CDTF">2026-11-02T17:15:52Z</dcterms:modified>
  <dc:title>宁夏总工会2024年“会聚良缘”单身职工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KSOTemplateDocerSaveRecord">
    <vt:lpwstr>eyJoZGlkIjoiMWYyYTQ1MWZhM2UwYmEyYmQyN2MyODJiMzk3MmIyNGUiLCJ1c2VySWQiOiI0NjA2MjI4NTkifQ==</vt:lpwstr>
  </property>
  <property fmtid="{D5CDD505-2E9C-101B-9397-08002B2CF9AE}" pid="4" name="ICV">
    <vt:lpwstr>3D450C82EE292DC3C854E86AD6490F3A_43</vt:lpwstr>
  </property>
</Properties>
</file>