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C510F">
      <w:pPr>
        <w:shd w:val="clear" w:color="auto" w:fill="auto"/>
        <w:spacing w:line="560" w:lineRule="exact"/>
        <w:jc w:val="left"/>
        <w:outlineLvl w:val="0"/>
        <w:rPr>
          <w:rFonts w:hint="eastAsia" w:ascii="方正小标宋简体" w:hAnsi="方正小标宋简体" w:eastAsia="方正小标宋简体" w:cs="方正小标宋简体"/>
          <w:b/>
          <w:bCs/>
          <w:color w:val="auto"/>
          <w:sz w:val="28"/>
          <w:szCs w:val="28"/>
          <w:highlight w:val="none"/>
          <w:shd w:val="clear" w:color="auto" w:fill="FFFFFF"/>
          <w:lang w:val="en-US" w:eastAsia="zh-CN"/>
        </w:rPr>
      </w:pPr>
      <w:bookmarkStart w:id="0" w:name="_GoBack"/>
      <w:bookmarkEnd w:id="0"/>
      <w:r>
        <w:rPr>
          <w:rFonts w:hint="eastAsia" w:ascii="方正小标宋简体" w:hAnsi="方正小标宋简体" w:eastAsia="方正小标宋简体" w:cs="方正小标宋简体"/>
          <w:b/>
          <w:bCs/>
          <w:color w:val="auto"/>
          <w:sz w:val="28"/>
          <w:szCs w:val="28"/>
          <w:highlight w:val="none"/>
          <w:shd w:val="clear" w:color="auto" w:fill="FFFFFF"/>
          <w:lang w:val="en-US" w:eastAsia="zh-CN"/>
        </w:rPr>
        <w:t>附件：</w:t>
      </w:r>
    </w:p>
    <w:p w14:paraId="61BB67F1">
      <w:pPr>
        <w:shd w:val="clear" w:color="auto" w:fill="auto"/>
        <w:spacing w:line="560" w:lineRule="exact"/>
        <w:jc w:val="center"/>
        <w:outlineLvl w:val="0"/>
        <w:rPr>
          <w:rFonts w:hint="eastAsia" w:ascii="方正小标宋简体" w:hAnsi="方正小标宋简体" w:eastAsia="方正小标宋简体" w:cs="方正小标宋简体"/>
          <w:color w:val="auto"/>
          <w:sz w:val="32"/>
          <w:szCs w:val="32"/>
          <w:highlight w:val="none"/>
          <w:shd w:val="clear" w:color="auto" w:fill="FFFFFF"/>
          <w:lang w:val="en-US" w:eastAsia="zh-CN"/>
        </w:rPr>
      </w:pPr>
      <w:r>
        <w:rPr>
          <w:rFonts w:hint="eastAsia" w:ascii="方正小标宋简体" w:hAnsi="方正小标宋简体" w:eastAsia="方正小标宋简体" w:cs="方正小标宋简体"/>
          <w:color w:val="auto"/>
          <w:sz w:val="32"/>
          <w:szCs w:val="32"/>
          <w:highlight w:val="none"/>
          <w:shd w:val="clear" w:color="auto" w:fill="FFFFFF"/>
          <w:lang w:val="en-US" w:eastAsia="zh-CN"/>
        </w:rPr>
        <w:t>在职职工住院互助保障待遇同步结算模块与中互会相关系统相关数据批量双向回传项目评分表</w:t>
      </w:r>
    </w:p>
    <w:tbl>
      <w:tblPr>
        <w:tblStyle w:val="7"/>
        <w:tblW w:w="97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2"/>
        <w:gridCol w:w="1104"/>
        <w:gridCol w:w="873"/>
        <w:gridCol w:w="6979"/>
      </w:tblGrid>
      <w:tr w14:paraId="34C2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blHeader/>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ED81C5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序号</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0A7DC486">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评审</w:t>
            </w:r>
          </w:p>
          <w:p w14:paraId="50E551A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因素</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5FADDCCD">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分值</w:t>
            </w:r>
          </w:p>
        </w:tc>
        <w:tc>
          <w:tcPr>
            <w:tcW w:w="6979" w:type="dxa"/>
            <w:tcBorders>
              <w:top w:val="single" w:color="000000" w:sz="4" w:space="0"/>
              <w:left w:val="single" w:color="000000" w:sz="4" w:space="0"/>
              <w:bottom w:val="single" w:color="000000" w:sz="4" w:space="0"/>
              <w:right w:val="single" w:color="000000" w:sz="4" w:space="0"/>
            </w:tcBorders>
            <w:noWrap w:val="0"/>
            <w:vAlign w:val="center"/>
          </w:tcPr>
          <w:p w14:paraId="72243167">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评分标准</w:t>
            </w:r>
          </w:p>
        </w:tc>
      </w:tr>
      <w:tr w14:paraId="1D63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5"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4B759BFD">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69CA2FA1">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价格</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E8ECE1F">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10分</w:t>
            </w:r>
          </w:p>
        </w:tc>
        <w:tc>
          <w:tcPr>
            <w:tcW w:w="6979" w:type="dxa"/>
            <w:tcBorders>
              <w:top w:val="single" w:color="000000" w:sz="4" w:space="0"/>
              <w:left w:val="single" w:color="000000" w:sz="4" w:space="0"/>
              <w:bottom w:val="single" w:color="000000" w:sz="4" w:space="0"/>
              <w:right w:val="single" w:color="000000" w:sz="4" w:space="0"/>
            </w:tcBorders>
            <w:noWrap w:val="0"/>
            <w:vAlign w:val="center"/>
          </w:tcPr>
          <w:p w14:paraId="50CDCF30">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1.供应商的价格分统一按下列公式计算：投标报价得分＝（评标基准价/投标报价）×10（保留两位小数）。评标基准价是指满足比选文件要求且投标价格最低的投标报价。</w:t>
            </w:r>
          </w:p>
          <w:p w14:paraId="7F29E796">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2.价格评审过程中，不得去掉最后报价中的最高报价和最低报价。</w:t>
            </w:r>
          </w:p>
        </w:tc>
      </w:tr>
      <w:tr w14:paraId="051AC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9"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684618B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1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2</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5B075F0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类似</w:t>
            </w:r>
          </w:p>
          <w:p w14:paraId="14E66A2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业绩</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7FFE5C68">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10</w:t>
            </w:r>
            <w:r>
              <w:rPr>
                <w:rFonts w:hint="eastAsia" w:ascii="宋体" w:hAnsi="宋体" w:cs="宋体"/>
                <w:color w:val="auto"/>
                <w:sz w:val="24"/>
                <w:szCs w:val="24"/>
                <w:highlight w:val="none"/>
                <w:shd w:val="clear" w:color="auto" w:fill="FFFFFF"/>
                <w:lang w:val="en-US" w:eastAsia="zh-CN"/>
              </w:rPr>
              <w:t>分</w:t>
            </w:r>
          </w:p>
        </w:tc>
        <w:tc>
          <w:tcPr>
            <w:tcW w:w="6979" w:type="dxa"/>
            <w:tcBorders>
              <w:top w:val="single" w:color="000000" w:sz="4" w:space="0"/>
              <w:left w:val="single" w:color="000000" w:sz="4" w:space="0"/>
              <w:bottom w:val="single" w:color="000000" w:sz="4" w:space="0"/>
              <w:right w:val="single" w:color="000000" w:sz="4" w:space="0"/>
            </w:tcBorders>
            <w:noWrap w:val="0"/>
            <w:vAlign w:val="center"/>
          </w:tcPr>
          <w:p w14:paraId="58FD43B9">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2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1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2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供应商（自2023年1月1日至响应文件递交截止之日，以合同签订时间为准）每提供一项类似业绩得5分，最高得10分。</w:t>
            </w:r>
          </w:p>
          <w:p w14:paraId="2A1D9A88">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20" w:firstLineChars="0"/>
              <w:jc w:val="both"/>
              <w:textAlignment w:val="auto"/>
              <w:outlineLvl w:val="0"/>
              <w:rPr>
                <w:rFonts w:hint="eastAsia"/>
                <w:sz w:val="24"/>
                <w:szCs w:val="24"/>
                <w:highlight w:val="none"/>
                <w:lang w:val="en-US" w:eastAsia="zh-CN"/>
                <w:rPrChange w:id="16" w:author="Administrator" w:date="2026-11-06T15:58:46Z">
                  <w:rPr>
                    <w:rFonts w:hint="eastAsia"/>
                    <w:sz w:val="24"/>
                    <w:szCs w:val="24"/>
                    <w:lang w:val="en-US" w:eastAsia="zh-CN"/>
                  </w:rPr>
                </w:rPrChange>
              </w:rPr>
              <w:pPrChange w:id="1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20" w:firstLineChars="0"/>
                  <w:jc w:val="both"/>
                  <w:textAlignment w:val="auto"/>
                  <w:outlineLvl w:val="0"/>
                </w:pPr>
              </w:pPrChange>
            </w:pPr>
            <w:r>
              <w:rPr>
                <w:rFonts w:hint="eastAsia"/>
                <w:b/>
                <w:bCs/>
                <w:sz w:val="24"/>
                <w:szCs w:val="24"/>
                <w:highlight w:val="none"/>
                <w:lang w:val="en-US" w:eastAsia="zh-CN"/>
                <w:rPrChange w:id="17" w:author="Administrator" w:date="2026-11-06T15:58:46Z">
                  <w:rPr>
                    <w:rFonts w:hint="eastAsia"/>
                    <w:b/>
                    <w:bCs/>
                    <w:sz w:val="24"/>
                    <w:szCs w:val="24"/>
                    <w:highlight w:val="yellow"/>
                    <w:lang w:val="en-US" w:eastAsia="zh-CN"/>
                  </w:rPr>
                </w:rPrChange>
              </w:rPr>
              <w:t>类似项目是指：软件或系统的开发、建设、升级或迁移适配等项目。</w:t>
            </w:r>
            <w:r>
              <w:rPr>
                <w:rFonts w:hint="eastAsia" w:ascii="宋体" w:hAnsi="宋体" w:cs="宋体"/>
                <w:b/>
                <w:bCs/>
                <w:color w:val="auto"/>
                <w:sz w:val="24"/>
                <w:szCs w:val="24"/>
                <w:highlight w:val="none"/>
                <w:shd w:val="clear" w:color="auto" w:fill="FFFFFF"/>
                <w:lang w:val="en-US" w:eastAsia="zh-CN"/>
              </w:rPr>
              <w:t>注：</w:t>
            </w:r>
            <w:r>
              <w:rPr>
                <w:rFonts w:hint="eastAsia" w:ascii="宋体" w:hAnsi="宋体" w:eastAsia="宋体" w:cs="宋体"/>
                <w:b/>
                <w:bCs/>
                <w:color w:val="auto"/>
                <w:sz w:val="24"/>
                <w:szCs w:val="24"/>
                <w:highlight w:val="none"/>
                <w:shd w:val="clear" w:color="auto" w:fill="FFFFFF"/>
                <w:lang w:val="en-US" w:eastAsia="zh-CN"/>
              </w:rPr>
              <w:t>须提供合同复印件（包括甲乙双方名称及盖章页）并加盖</w:t>
            </w:r>
            <w:r>
              <w:rPr>
                <w:rFonts w:hint="eastAsia" w:ascii="宋体" w:hAnsi="宋体" w:cs="宋体"/>
                <w:b/>
                <w:bCs/>
                <w:color w:val="auto"/>
                <w:sz w:val="24"/>
                <w:szCs w:val="24"/>
                <w:highlight w:val="none"/>
                <w:shd w:val="clear" w:color="auto" w:fill="FFFFFF"/>
                <w:lang w:val="en-US" w:eastAsia="zh-CN"/>
              </w:rPr>
              <w:t>供应商</w:t>
            </w:r>
            <w:r>
              <w:rPr>
                <w:rFonts w:hint="eastAsia" w:ascii="宋体" w:hAnsi="宋体" w:eastAsia="宋体" w:cs="宋体"/>
                <w:b/>
                <w:bCs/>
                <w:color w:val="auto"/>
                <w:sz w:val="24"/>
                <w:szCs w:val="24"/>
                <w:highlight w:val="none"/>
                <w:shd w:val="clear" w:color="auto" w:fill="FFFFFF"/>
                <w:lang w:val="en-US" w:eastAsia="zh-CN"/>
              </w:rPr>
              <w:t>公章，未提供或提供不合格的业绩不得分。</w:t>
            </w:r>
          </w:p>
        </w:tc>
      </w:tr>
      <w:tr w14:paraId="4062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8"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364784D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1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3</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C0168E9">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企业</w:t>
            </w:r>
          </w:p>
          <w:p w14:paraId="704A949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实力</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6784668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cs="宋体"/>
                <w:color w:val="auto"/>
                <w:sz w:val="24"/>
                <w:szCs w:val="24"/>
                <w:highlight w:val="none"/>
                <w:shd w:val="clear" w:color="auto" w:fill="FFFFFF"/>
                <w:lang w:val="en-US" w:eastAsia="zh-CN"/>
              </w:rPr>
              <w:t>分</w:t>
            </w:r>
          </w:p>
        </w:tc>
        <w:tc>
          <w:tcPr>
            <w:tcW w:w="6979" w:type="dxa"/>
            <w:tcBorders>
              <w:top w:val="single" w:color="000000" w:sz="4" w:space="0"/>
              <w:left w:val="single" w:color="000000" w:sz="4" w:space="0"/>
              <w:bottom w:val="single" w:color="000000" w:sz="4" w:space="0"/>
              <w:right w:val="single" w:color="000000" w:sz="4" w:space="0"/>
            </w:tcBorders>
            <w:noWrap w:val="0"/>
            <w:vAlign w:val="center"/>
          </w:tcPr>
          <w:p w14:paraId="46489DBF">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sz w:val="24"/>
                <w:szCs w:val="24"/>
                <w:highlight w:val="none"/>
                <w:lang w:val="en-US" w:eastAsia="zh-CN"/>
                <w:rPrChange w:id="23" w:author="Administrator" w:date="2026-11-06T15:58:46Z">
                  <w:rPr>
                    <w:rFonts w:hint="eastAsia"/>
                    <w:sz w:val="24"/>
                    <w:szCs w:val="24"/>
                    <w:lang w:val="en-US" w:eastAsia="zh-CN"/>
                  </w:rPr>
                </w:rPrChange>
              </w:rPr>
              <w:pPrChange w:id="2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cs="宋体"/>
                <w:color w:val="auto"/>
                <w:sz w:val="24"/>
                <w:szCs w:val="24"/>
                <w:highlight w:val="none"/>
                <w:shd w:val="clear" w:color="auto" w:fill="FFFFFF"/>
                <w:lang w:val="en-US" w:eastAsia="zh-CN"/>
              </w:rPr>
              <w:t>供应商</w:t>
            </w:r>
            <w:r>
              <w:rPr>
                <w:rFonts w:hint="eastAsia" w:ascii="宋体" w:hAnsi="宋体" w:eastAsia="宋体" w:cs="宋体"/>
                <w:color w:val="auto"/>
                <w:sz w:val="24"/>
                <w:szCs w:val="24"/>
                <w:highlight w:val="none"/>
                <w:shd w:val="clear" w:color="auto" w:fill="FFFFFF"/>
                <w:lang w:val="en-US" w:eastAsia="zh-CN"/>
              </w:rPr>
              <w:t>具有“智慧工会”类、“会员服务”类、“互助保障”类软件著作权证书，每提供一个证书得2分，满分6分。</w:t>
            </w:r>
            <w:r>
              <w:rPr>
                <w:rFonts w:hint="eastAsia" w:ascii="宋体" w:hAnsi="宋体" w:eastAsia="宋体" w:cs="宋体"/>
                <w:color w:val="auto"/>
                <w:sz w:val="24"/>
                <w:szCs w:val="24"/>
                <w:highlight w:val="none"/>
                <w:shd w:val="clear" w:color="auto" w:fill="FFFFFF"/>
                <w:lang w:val="en-US" w:eastAsia="zh-CN"/>
              </w:rPr>
              <w:br w:type="textWrapping"/>
            </w:r>
            <w:r>
              <w:rPr>
                <w:rFonts w:hint="eastAsia" w:ascii="宋体" w:hAnsi="宋体" w:cs="宋体"/>
                <w:color w:val="auto"/>
                <w:sz w:val="24"/>
                <w:szCs w:val="24"/>
                <w:highlight w:val="none"/>
                <w:shd w:val="clear" w:color="auto" w:fill="FFFFFF"/>
                <w:lang w:val="en-US" w:eastAsia="zh-CN"/>
              </w:rPr>
              <w:t xml:space="preserve">  </w:t>
            </w:r>
            <w:r>
              <w:rPr>
                <w:rFonts w:hint="eastAsia" w:ascii="宋体" w:hAnsi="宋体" w:eastAsia="宋体" w:cs="宋体"/>
                <w:b/>
                <w:bCs/>
                <w:color w:val="auto"/>
                <w:sz w:val="24"/>
                <w:szCs w:val="24"/>
                <w:highlight w:val="none"/>
                <w:shd w:val="clear" w:color="auto" w:fill="FFFFFF"/>
                <w:lang w:val="en-US" w:eastAsia="zh-CN"/>
              </w:rPr>
              <w:t>注：</w:t>
            </w:r>
            <w:r>
              <w:rPr>
                <w:rFonts w:hint="eastAsia" w:ascii="宋体" w:hAnsi="宋体" w:cs="宋体"/>
                <w:b/>
                <w:bCs/>
                <w:color w:val="auto"/>
                <w:sz w:val="24"/>
                <w:szCs w:val="24"/>
                <w:highlight w:val="none"/>
                <w:shd w:val="clear" w:color="auto" w:fill="FFFFFF"/>
                <w:lang w:val="en-US" w:eastAsia="zh-CN"/>
              </w:rPr>
              <w:t>响应</w:t>
            </w:r>
            <w:r>
              <w:rPr>
                <w:rFonts w:hint="eastAsia" w:ascii="宋体" w:hAnsi="宋体" w:eastAsia="宋体" w:cs="宋体"/>
                <w:b/>
                <w:bCs/>
                <w:color w:val="auto"/>
                <w:sz w:val="24"/>
                <w:szCs w:val="24"/>
                <w:highlight w:val="none"/>
                <w:shd w:val="clear" w:color="auto" w:fill="FFFFFF"/>
                <w:lang w:val="en-US" w:eastAsia="zh-CN"/>
              </w:rPr>
              <w:t>文件中提供国家版权局颁发的《计算机软件著作权登记证书》复印件并加盖</w:t>
            </w:r>
            <w:r>
              <w:rPr>
                <w:rFonts w:hint="eastAsia" w:ascii="宋体" w:hAnsi="宋体" w:cs="宋体"/>
                <w:b/>
                <w:bCs/>
                <w:color w:val="auto"/>
                <w:sz w:val="24"/>
                <w:szCs w:val="24"/>
                <w:highlight w:val="none"/>
                <w:shd w:val="clear" w:color="auto" w:fill="FFFFFF"/>
                <w:lang w:val="en-US" w:eastAsia="zh-CN"/>
              </w:rPr>
              <w:t>供应商</w:t>
            </w:r>
            <w:r>
              <w:rPr>
                <w:rFonts w:hint="eastAsia" w:ascii="宋体" w:hAnsi="宋体" w:eastAsia="宋体" w:cs="宋体"/>
                <w:b/>
                <w:bCs/>
                <w:color w:val="auto"/>
                <w:sz w:val="24"/>
                <w:szCs w:val="24"/>
                <w:highlight w:val="none"/>
                <w:shd w:val="clear" w:color="auto" w:fill="FFFFFF"/>
                <w:lang w:val="en-US" w:eastAsia="zh-CN"/>
              </w:rPr>
              <w:t>公章；著作权人与</w:t>
            </w:r>
            <w:r>
              <w:rPr>
                <w:rFonts w:hint="eastAsia" w:ascii="宋体" w:hAnsi="宋体" w:cs="宋体"/>
                <w:b/>
                <w:bCs/>
                <w:color w:val="auto"/>
                <w:sz w:val="24"/>
                <w:szCs w:val="24"/>
                <w:highlight w:val="none"/>
                <w:shd w:val="clear" w:color="auto" w:fill="FFFFFF"/>
                <w:lang w:val="en-US" w:eastAsia="zh-CN"/>
              </w:rPr>
              <w:t>供应商</w:t>
            </w:r>
            <w:r>
              <w:rPr>
                <w:rFonts w:hint="eastAsia" w:ascii="宋体" w:hAnsi="宋体" w:eastAsia="宋体" w:cs="宋体"/>
                <w:b/>
                <w:bCs/>
                <w:color w:val="auto"/>
                <w:sz w:val="24"/>
                <w:szCs w:val="24"/>
                <w:highlight w:val="none"/>
                <w:shd w:val="clear" w:color="auto" w:fill="FFFFFF"/>
                <w:lang w:val="en-US" w:eastAsia="zh-CN"/>
              </w:rPr>
              <w:t>名称须一致。未提供或提供不符合要求的不得分。</w:t>
            </w:r>
          </w:p>
        </w:tc>
      </w:tr>
      <w:tr w14:paraId="65C0B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0" w:hRule="atLeast"/>
          <w:jc w:val="center"/>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5EBD608C">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2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4</w:t>
            </w:r>
          </w:p>
        </w:tc>
        <w:tc>
          <w:tcPr>
            <w:tcW w:w="1104" w:type="dxa"/>
            <w:tcBorders>
              <w:top w:val="single" w:color="000000" w:sz="4" w:space="0"/>
              <w:left w:val="single" w:color="000000" w:sz="4" w:space="0"/>
              <w:bottom w:val="single" w:color="000000" w:sz="4" w:space="0"/>
              <w:right w:val="single" w:color="000000" w:sz="4" w:space="0"/>
            </w:tcBorders>
            <w:noWrap w:val="0"/>
            <w:vAlign w:val="center"/>
          </w:tcPr>
          <w:p w14:paraId="70B2049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项目</w:t>
            </w:r>
          </w:p>
          <w:p w14:paraId="2A519EB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团队</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14:paraId="00CC8BC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2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4</w:t>
            </w:r>
            <w:r>
              <w:rPr>
                <w:rFonts w:hint="eastAsia" w:ascii="宋体" w:hAnsi="宋体" w:cs="宋体"/>
                <w:color w:val="auto"/>
                <w:sz w:val="24"/>
                <w:szCs w:val="24"/>
                <w:highlight w:val="none"/>
                <w:shd w:val="clear" w:color="auto" w:fill="FFFFFF"/>
                <w:lang w:val="en-US" w:eastAsia="zh-CN"/>
              </w:rPr>
              <w:t>分</w:t>
            </w:r>
          </w:p>
        </w:tc>
        <w:tc>
          <w:tcPr>
            <w:tcW w:w="6979" w:type="dxa"/>
            <w:tcBorders>
              <w:top w:val="single" w:color="000000" w:sz="4" w:space="0"/>
              <w:left w:val="single" w:color="000000" w:sz="4" w:space="0"/>
              <w:bottom w:val="single" w:color="000000" w:sz="4" w:space="0"/>
              <w:right w:val="single" w:color="000000" w:sz="4" w:space="0"/>
            </w:tcBorders>
            <w:noWrap w:val="0"/>
            <w:vAlign w:val="center"/>
          </w:tcPr>
          <w:p w14:paraId="56F56A4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2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w:t>
            </w:r>
            <w:r>
              <w:rPr>
                <w:rFonts w:hint="eastAsia" w:ascii="宋体" w:hAnsi="宋体" w:cs="宋体"/>
                <w:color w:val="auto"/>
                <w:sz w:val="24"/>
                <w:szCs w:val="24"/>
                <w:highlight w:val="none"/>
                <w:shd w:val="clear" w:color="auto" w:fill="FFFFFF"/>
                <w:lang w:val="en-US" w:eastAsia="zh-CN"/>
              </w:rPr>
              <w:t>供应商</w:t>
            </w:r>
            <w:r>
              <w:rPr>
                <w:rFonts w:hint="eastAsia" w:ascii="宋体" w:hAnsi="宋体" w:eastAsia="宋体" w:cs="宋体"/>
                <w:color w:val="auto"/>
                <w:sz w:val="24"/>
                <w:szCs w:val="24"/>
                <w:highlight w:val="none"/>
                <w:shd w:val="clear" w:color="auto" w:fill="FFFFFF"/>
                <w:lang w:val="en-US" w:eastAsia="zh-CN"/>
              </w:rPr>
              <w:t>组建项目团队人员不少</w:t>
            </w:r>
            <w:r>
              <w:rPr>
                <w:rFonts w:hint="eastAsia" w:ascii="宋体" w:hAnsi="宋体" w:cs="宋体"/>
                <w:color w:val="auto"/>
                <w:sz w:val="24"/>
                <w:szCs w:val="24"/>
                <w:highlight w:val="none"/>
                <w:shd w:val="clear" w:color="auto" w:fill="FFFFFF"/>
                <w:lang w:val="en-US" w:eastAsia="zh-CN"/>
              </w:rPr>
              <w:t>于</w:t>
            </w:r>
            <w:r>
              <w:rPr>
                <w:rFonts w:hint="eastAsia" w:ascii="宋体" w:hAnsi="宋体" w:eastAsia="宋体" w:cs="宋体"/>
                <w:color w:val="auto"/>
                <w:sz w:val="24"/>
                <w:szCs w:val="24"/>
                <w:highlight w:val="none"/>
                <w:shd w:val="clear" w:color="auto" w:fill="FFFFFF"/>
                <w:lang w:val="en-US" w:eastAsia="zh-CN"/>
              </w:rPr>
              <w:t>3人（其中至少包括项目经理1名及2名开发工程师）的得2分；</w:t>
            </w:r>
            <w:r>
              <w:rPr>
                <w:rFonts w:hint="eastAsia" w:ascii="宋体" w:hAnsi="宋体" w:eastAsia="宋体" w:cs="宋体"/>
                <w:color w:val="auto"/>
                <w:sz w:val="24"/>
                <w:szCs w:val="24"/>
                <w:highlight w:val="none"/>
                <w:shd w:val="clear" w:color="auto" w:fill="FFFFFF"/>
                <w:lang w:val="en-US" w:eastAsia="zh-CN"/>
              </w:rPr>
              <w:br w:type="textWrapping"/>
            </w:r>
            <w:r>
              <w:rPr>
                <w:rFonts w:hint="eastAsia" w:ascii="宋体" w:hAnsi="宋体" w:eastAsia="宋体" w:cs="宋体"/>
                <w:color w:val="auto"/>
                <w:sz w:val="24"/>
                <w:szCs w:val="24"/>
                <w:highlight w:val="none"/>
                <w:shd w:val="clear" w:color="auto" w:fill="FFFFFF"/>
                <w:lang w:val="en-US" w:eastAsia="zh-CN"/>
              </w:rPr>
              <w:t>2.项目团队分工合理</w:t>
            </w:r>
            <w:r>
              <w:rPr>
                <w:rFonts w:hint="eastAsia" w:ascii="宋体" w:hAnsi="宋体" w:cs="宋体"/>
                <w:color w:val="auto"/>
                <w:sz w:val="24"/>
                <w:szCs w:val="24"/>
                <w:highlight w:val="none"/>
                <w:shd w:val="clear" w:color="auto" w:fill="FFFFFF"/>
                <w:lang w:val="en-US" w:eastAsia="zh-CN"/>
              </w:rPr>
              <w:t>的得</w:t>
            </w:r>
            <w:r>
              <w:rPr>
                <w:rFonts w:hint="eastAsia" w:ascii="宋体" w:hAnsi="宋体" w:eastAsia="宋体" w:cs="宋体"/>
                <w:color w:val="auto"/>
                <w:sz w:val="24"/>
                <w:szCs w:val="24"/>
                <w:highlight w:val="none"/>
                <w:shd w:val="clear" w:color="auto" w:fill="FFFFFF"/>
                <w:lang w:val="en-US" w:eastAsia="zh-CN"/>
              </w:rPr>
              <w:t>2分。</w:t>
            </w:r>
            <w:r>
              <w:rPr>
                <w:rFonts w:hint="eastAsia" w:ascii="宋体" w:hAnsi="宋体" w:eastAsia="宋体" w:cs="宋体"/>
                <w:color w:val="auto"/>
                <w:sz w:val="24"/>
                <w:szCs w:val="24"/>
                <w:highlight w:val="none"/>
                <w:shd w:val="clear" w:color="auto" w:fill="FFFFFF"/>
                <w:lang w:val="en-US" w:eastAsia="zh-CN"/>
              </w:rPr>
              <w:br w:type="textWrapping"/>
            </w:r>
            <w:r>
              <w:rPr>
                <w:rFonts w:hint="eastAsia" w:ascii="宋体" w:hAnsi="宋体" w:eastAsia="宋体" w:cs="宋体"/>
                <w:b/>
                <w:bCs/>
                <w:color w:val="auto"/>
                <w:sz w:val="24"/>
                <w:szCs w:val="24"/>
                <w:highlight w:val="none"/>
                <w:shd w:val="clear" w:color="auto" w:fill="FFFFFF"/>
                <w:lang w:val="en-US" w:eastAsia="zh-CN"/>
              </w:rPr>
              <w:t>注：要求项目团队人员（含项目经理）须提供相关个人简历；项目经理和团队人员的身份证及2026年以来任意连续3个月在</w:t>
            </w:r>
            <w:r>
              <w:rPr>
                <w:rFonts w:hint="eastAsia" w:ascii="宋体" w:hAnsi="宋体" w:cs="宋体"/>
                <w:b/>
                <w:bCs/>
                <w:color w:val="auto"/>
                <w:sz w:val="24"/>
                <w:szCs w:val="24"/>
                <w:highlight w:val="none"/>
                <w:shd w:val="clear" w:color="auto" w:fill="FFFFFF"/>
                <w:lang w:val="en-US" w:eastAsia="zh-CN"/>
              </w:rPr>
              <w:t>供应商</w:t>
            </w:r>
            <w:r>
              <w:rPr>
                <w:rFonts w:hint="eastAsia" w:ascii="宋体" w:hAnsi="宋体" w:eastAsia="宋体" w:cs="宋体"/>
                <w:b/>
                <w:bCs/>
                <w:color w:val="auto"/>
                <w:sz w:val="24"/>
                <w:szCs w:val="24"/>
                <w:highlight w:val="none"/>
                <w:shd w:val="clear" w:color="auto" w:fill="FFFFFF"/>
                <w:lang w:val="en-US" w:eastAsia="zh-CN"/>
              </w:rPr>
              <w:t>参保的医保或社保缴费证明复印件。以上证明材料复印件须加盖</w:t>
            </w:r>
            <w:r>
              <w:rPr>
                <w:rFonts w:hint="eastAsia" w:ascii="宋体" w:hAnsi="宋体" w:cs="宋体"/>
                <w:b/>
                <w:bCs/>
                <w:color w:val="auto"/>
                <w:sz w:val="24"/>
                <w:szCs w:val="24"/>
                <w:highlight w:val="none"/>
                <w:shd w:val="clear" w:color="auto" w:fill="FFFFFF"/>
                <w:lang w:val="en-US" w:eastAsia="zh-CN"/>
              </w:rPr>
              <w:t>供应商</w:t>
            </w:r>
            <w:r>
              <w:rPr>
                <w:rFonts w:hint="eastAsia" w:ascii="宋体" w:hAnsi="宋体" w:eastAsia="宋体" w:cs="宋体"/>
                <w:b/>
                <w:bCs/>
                <w:color w:val="auto"/>
                <w:sz w:val="24"/>
                <w:szCs w:val="24"/>
                <w:highlight w:val="none"/>
                <w:shd w:val="clear" w:color="auto" w:fill="FFFFFF"/>
                <w:lang w:val="en-US" w:eastAsia="zh-CN"/>
              </w:rPr>
              <w:t>公章并附于</w:t>
            </w:r>
            <w:r>
              <w:rPr>
                <w:rFonts w:hint="eastAsia" w:ascii="宋体" w:hAnsi="宋体" w:cs="宋体"/>
                <w:b/>
                <w:bCs/>
                <w:color w:val="auto"/>
                <w:sz w:val="24"/>
                <w:szCs w:val="24"/>
                <w:highlight w:val="none"/>
                <w:shd w:val="clear" w:color="auto" w:fill="FFFFFF"/>
                <w:lang w:val="en-US" w:eastAsia="zh-CN"/>
              </w:rPr>
              <w:t>响应文件</w:t>
            </w:r>
            <w:r>
              <w:rPr>
                <w:rFonts w:hint="eastAsia" w:ascii="宋体" w:hAnsi="宋体" w:eastAsia="宋体" w:cs="宋体"/>
                <w:b/>
                <w:bCs/>
                <w:color w:val="auto"/>
                <w:sz w:val="24"/>
                <w:szCs w:val="24"/>
                <w:highlight w:val="none"/>
                <w:shd w:val="clear" w:color="auto" w:fill="FFFFFF"/>
                <w:lang w:val="en-US" w:eastAsia="zh-CN"/>
              </w:rPr>
              <w:t>中，未提供不得分。</w:t>
            </w:r>
          </w:p>
        </w:tc>
      </w:tr>
    </w:tbl>
    <w:p w14:paraId="54DA1BA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1"/>
          <w:szCs w:val="21"/>
          <w:highlight w:val="none"/>
          <w:shd w:val="clear" w:color="auto" w:fill="FFFFFF"/>
          <w:lang w:val="en-US" w:eastAsia="zh-CN"/>
        </w:rPr>
        <w:pPrChange w:id="2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1"/>
          <w:szCs w:val="21"/>
          <w:highlight w:val="none"/>
          <w:shd w:val="clear" w:color="auto" w:fill="FFFFFF"/>
          <w:lang w:val="en-US" w:eastAsia="zh-CN"/>
        </w:rPr>
        <w:br w:type="page"/>
      </w:r>
    </w:p>
    <w:tbl>
      <w:tblPr>
        <w:tblStyle w:val="7"/>
        <w:tblW w:w="9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76"/>
        <w:gridCol w:w="1124"/>
        <w:gridCol w:w="889"/>
        <w:gridCol w:w="7109"/>
      </w:tblGrid>
      <w:tr w14:paraId="5C0F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1B83DDC8">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3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5</w:t>
            </w:r>
          </w:p>
        </w:tc>
        <w:tc>
          <w:tcPr>
            <w:tcW w:w="1124"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25D4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3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技术</w:t>
            </w:r>
          </w:p>
          <w:p w14:paraId="0A17F6A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3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方案</w:t>
            </w:r>
          </w:p>
        </w:tc>
        <w:tc>
          <w:tcPr>
            <w:tcW w:w="889"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B0F93">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3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40分</w:t>
            </w:r>
          </w:p>
        </w:tc>
        <w:tc>
          <w:tcPr>
            <w:tcW w:w="71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060159">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b/>
                <w:bCs/>
                <w:color w:val="auto"/>
                <w:sz w:val="24"/>
                <w:szCs w:val="24"/>
                <w:highlight w:val="none"/>
                <w:shd w:val="clear" w:color="auto" w:fill="FFFFFF"/>
                <w:lang w:val="en-US" w:eastAsia="zh-CN"/>
              </w:rPr>
              <w:pPrChange w:id="3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b/>
                <w:bCs/>
                <w:color w:val="auto"/>
                <w:sz w:val="24"/>
                <w:szCs w:val="24"/>
                <w:highlight w:val="none"/>
                <w:shd w:val="clear" w:color="auto" w:fill="FFFFFF"/>
                <w:lang w:val="en-US" w:eastAsia="zh-CN"/>
              </w:rPr>
              <w:t>结合建设内容，对以下4项分别评分，每项10分：</w:t>
            </w:r>
          </w:p>
          <w:p w14:paraId="66D51702">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3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①明确首次参保名单分批同步、日常夜间新增变更及失效信息同步方式，说明同步批次、结果核对和失败补传安排。</w:t>
            </w:r>
          </w:p>
          <w:p w14:paraId="715F28CD">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3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②说明互助金计算结果接收、会员及参保记录匹配、数据校验和宁夏专用流程自动建案，保留医保来源及处理记录。</w:t>
            </w:r>
          </w:p>
          <w:p w14:paraId="01320C03">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3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③说明付款凭证生成推送、财务审核及审批流程，衔接现有U盾认证、账号校验和银行支付功能。</w:t>
            </w:r>
          </w:p>
          <w:p w14:paraId="1E4223B3">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3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④说明支付结果回传、案件状态更新、短信通知及查询统计功能，能够关联查看案件、凭证和付款结果。</w:t>
            </w:r>
          </w:p>
          <w:p w14:paraId="5C5F93A3">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2" w:firstLineChars="200"/>
              <w:jc w:val="left"/>
              <w:textAlignment w:val="auto"/>
              <w:outlineLvl w:val="0"/>
              <w:rPr>
                <w:rFonts w:hint="default" w:ascii="宋体" w:hAnsi="宋体" w:eastAsia="宋体" w:cs="宋体"/>
                <w:color w:val="auto"/>
                <w:sz w:val="24"/>
                <w:szCs w:val="24"/>
                <w:highlight w:val="none"/>
                <w:shd w:val="clear" w:color="auto" w:fill="FFFFFF"/>
                <w:lang w:val="en-US" w:eastAsia="zh-CN"/>
              </w:rPr>
              <w:pPrChange w:id="3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2" w:firstLineChars="200"/>
                  <w:jc w:val="left"/>
                  <w:textAlignment w:val="auto"/>
                  <w:outlineLvl w:val="0"/>
                </w:pPr>
              </w:pPrChange>
            </w:pPr>
            <w:r>
              <w:rPr>
                <w:rFonts w:hint="eastAsia" w:ascii="宋体" w:hAnsi="宋体" w:eastAsia="宋体" w:cs="宋体"/>
                <w:b/>
                <w:bCs/>
                <w:color w:val="auto"/>
                <w:sz w:val="24"/>
                <w:szCs w:val="24"/>
                <w:highlight w:val="none"/>
                <w:shd w:val="clear" w:color="auto" w:fill="FFFFFF"/>
                <w:lang w:val="en-US" w:eastAsia="zh-CN"/>
              </w:rPr>
              <w:t>以上方案内容，每项内容完整，切实可行，符合项目实际，有利于项目实施的得</w:t>
            </w:r>
            <w:r>
              <w:rPr>
                <w:rFonts w:hint="eastAsia" w:ascii="宋体" w:hAnsi="宋体" w:cs="宋体"/>
                <w:b/>
                <w:bCs/>
                <w:color w:val="auto"/>
                <w:sz w:val="24"/>
                <w:szCs w:val="24"/>
                <w:highlight w:val="none"/>
                <w:shd w:val="clear" w:color="auto" w:fill="FFFFFF"/>
                <w:lang w:val="en-US" w:eastAsia="zh-CN"/>
              </w:rPr>
              <w:t>10</w:t>
            </w:r>
            <w:r>
              <w:rPr>
                <w:rFonts w:hint="eastAsia" w:ascii="宋体" w:hAnsi="宋体" w:eastAsia="宋体" w:cs="宋体"/>
                <w:b/>
                <w:bCs/>
                <w:color w:val="auto"/>
                <w:sz w:val="24"/>
                <w:szCs w:val="24"/>
                <w:highlight w:val="none"/>
                <w:shd w:val="clear" w:color="auto" w:fill="FFFFFF"/>
                <w:lang w:val="en-US" w:eastAsia="zh-CN"/>
              </w:rPr>
              <w:t>分；方案内容较完整，主要措施可行，总体符合项目实际，少量细节需完善，不影响整体实施</w:t>
            </w:r>
            <w:r>
              <w:rPr>
                <w:rFonts w:hint="eastAsia" w:ascii="宋体" w:hAnsi="宋体" w:cs="宋体"/>
                <w:b/>
                <w:bCs/>
                <w:color w:val="auto"/>
                <w:sz w:val="24"/>
                <w:szCs w:val="24"/>
                <w:highlight w:val="none"/>
                <w:shd w:val="clear" w:color="auto" w:fill="FFFFFF"/>
                <w:lang w:val="en-US" w:eastAsia="zh-CN"/>
              </w:rPr>
              <w:t>的得7分；方案内容基本完整，基本可行，基本符合项目实际，存在明显短板的得4分；内容不完整，不完善的得1分；未提供的不得分。</w:t>
            </w:r>
          </w:p>
        </w:tc>
      </w:tr>
      <w:tr w14:paraId="0F715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9119C">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20F1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99A01">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250C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31DDD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CFC9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778D8">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CB73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CA85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137E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6C1A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B164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4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B22A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5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B86D6">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5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5C0D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9" w:hRule="atLeast"/>
          <w:jc w:val="center"/>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4F5F8A0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5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6</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9298E11">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5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安全与异常处理</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4948D80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5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12分</w:t>
            </w:r>
          </w:p>
        </w:tc>
        <w:tc>
          <w:tcPr>
            <w:tcW w:w="7109" w:type="dxa"/>
            <w:tcBorders>
              <w:top w:val="single" w:color="000000" w:sz="4" w:space="0"/>
              <w:left w:val="single" w:color="000000" w:sz="4" w:space="0"/>
              <w:bottom w:val="single" w:color="000000" w:sz="4" w:space="0"/>
              <w:right w:val="single" w:color="000000" w:sz="4" w:space="0"/>
            </w:tcBorders>
            <w:noWrap w:val="0"/>
            <w:vAlign w:val="center"/>
          </w:tcPr>
          <w:p w14:paraId="4C5DF04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b/>
                <w:bCs/>
                <w:color w:val="auto"/>
                <w:sz w:val="24"/>
                <w:szCs w:val="24"/>
                <w:highlight w:val="none"/>
                <w:shd w:val="clear" w:color="auto" w:fill="FFFFFF"/>
                <w:lang w:val="en-US" w:eastAsia="zh-CN"/>
              </w:rPr>
              <w:pPrChange w:id="5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b/>
                <w:bCs/>
                <w:color w:val="auto"/>
                <w:sz w:val="24"/>
                <w:szCs w:val="24"/>
                <w:highlight w:val="none"/>
                <w:shd w:val="clear" w:color="auto" w:fill="FFFFFF"/>
                <w:lang w:val="en-US" w:eastAsia="zh-CN"/>
              </w:rPr>
              <w:t>对以下3项分别评分，每项4分：</w:t>
            </w:r>
          </w:p>
          <w:p w14:paraId="0C83FBAF">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5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①明确接口身份验证、加密传输、访问权限和日志脱敏措施，控制个人及收款信息的使用范围，保留必要操作记录。</w:t>
            </w:r>
          </w:p>
          <w:p w14:paraId="211A77D6">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5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②说明重复报送、跨渠道申领及重复付款的识别和处理措施；对已支付、处理中或结果不明的业务，不得直接再次付款。</w:t>
            </w:r>
          </w:p>
          <w:p w14:paraId="41E32236">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5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③说明同步或反馈失败补传、结算撤销及金额更正的处理流程，明确人工复核、业务财务对账及已付款异常核实安排。</w:t>
            </w:r>
          </w:p>
          <w:p w14:paraId="25AF590C">
            <w:pPr>
              <w:pStyle w:val="2"/>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b/>
                <w:bCs/>
                <w:color w:val="auto"/>
                <w:sz w:val="24"/>
                <w:szCs w:val="24"/>
                <w:highlight w:val="none"/>
                <w:shd w:val="clear" w:color="auto" w:fill="FFFFFF"/>
                <w:lang w:val="en-US" w:eastAsia="zh-CN"/>
              </w:rPr>
              <w:t>以上方案内容，每项内容完整，切实可行，符合项目实际，有利于项目实施的得4分；内容基本完整可行，基本符合项目实际的得2分；内容不完整，不完善的得1分；未提供的不得分。</w:t>
            </w:r>
          </w:p>
        </w:tc>
      </w:tr>
      <w:tr w14:paraId="260F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6F42DA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5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7</w:t>
            </w:r>
          </w:p>
        </w:tc>
        <w:tc>
          <w:tcPr>
            <w:tcW w:w="11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1E0803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6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实施与交付</w:t>
            </w:r>
          </w:p>
        </w:tc>
        <w:tc>
          <w:tcPr>
            <w:tcW w:w="889" w:type="dxa"/>
            <w:vMerge w:val="restart"/>
            <w:tcBorders>
              <w:top w:val="single" w:color="000000" w:sz="4" w:space="0"/>
              <w:left w:val="single" w:color="000000" w:sz="4" w:space="0"/>
              <w:bottom w:val="single" w:color="000000" w:sz="4" w:space="0"/>
              <w:right w:val="single" w:color="000000" w:sz="4" w:space="0"/>
            </w:tcBorders>
            <w:noWrap w:val="0"/>
            <w:vAlign w:val="center"/>
          </w:tcPr>
          <w:p w14:paraId="468CBDA7">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6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12</w:t>
            </w:r>
            <w:r>
              <w:rPr>
                <w:rFonts w:hint="eastAsia" w:ascii="宋体" w:hAnsi="宋体" w:cs="宋体"/>
                <w:color w:val="auto"/>
                <w:sz w:val="24"/>
                <w:szCs w:val="24"/>
                <w:highlight w:val="none"/>
                <w:shd w:val="clear" w:color="auto" w:fill="FFFFFF"/>
                <w:lang w:val="en-US" w:eastAsia="zh-CN"/>
              </w:rPr>
              <w:t>分</w:t>
            </w:r>
          </w:p>
        </w:tc>
        <w:tc>
          <w:tcPr>
            <w:tcW w:w="71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A80233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b/>
                <w:bCs/>
                <w:color w:val="auto"/>
                <w:sz w:val="24"/>
                <w:szCs w:val="24"/>
                <w:highlight w:val="none"/>
                <w:shd w:val="clear" w:color="auto" w:fill="FFFFFF"/>
                <w:lang w:val="en-US" w:eastAsia="zh-CN"/>
              </w:rPr>
              <w:pPrChange w:id="6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b/>
                <w:bCs/>
                <w:color w:val="auto"/>
                <w:sz w:val="24"/>
                <w:szCs w:val="24"/>
                <w:highlight w:val="none"/>
                <w:shd w:val="clear" w:color="auto" w:fill="FFFFFF"/>
                <w:lang w:val="en-US" w:eastAsia="zh-CN"/>
              </w:rPr>
              <w:t>对以下4项分别评分，每项3分：</w:t>
            </w:r>
          </w:p>
          <w:p w14:paraId="4389ED72">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6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①结合30天实施安排，明确需求确认、开发测试、培训上线等阶段任务，落实项目经理1名、开发工程师2名及职责分工。</w:t>
            </w:r>
          </w:p>
          <w:p w14:paraId="50859111">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6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②明确与医保侧及相关系统实施单位的接口确认、联调时间和问题处理方式，说明所需接口资料、测试条件及配合事项。</w:t>
            </w:r>
          </w:p>
          <w:p w14:paraId="33323368">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6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③安排名单同步、自动建案、审批支付和结果反馈等正常流程测试，并覆盖重复传送、失败重试及必要安全测试，提供测试报告。</w:t>
            </w:r>
          </w:p>
          <w:p w14:paraId="3C908B6D">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6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ind w:firstLine="480" w:firstLineChars="200"/>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④明确部署上线、操作培训、改造代码和操作文档交付安排，说明试运行问题跟踪及与后续验收的衔接。</w:t>
            </w:r>
          </w:p>
          <w:p w14:paraId="15A3511D">
            <w:pPr>
              <w:pStyle w:val="2"/>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sz w:val="24"/>
                <w:szCs w:val="24"/>
                <w:highlight w:val="none"/>
                <w:lang w:val="en-US" w:eastAsia="zh-CN"/>
                <w:rPrChange w:id="67" w:author="Administrator" w:date="2026-11-06T15:58:46Z">
                  <w:rPr>
                    <w:rFonts w:hint="eastAsia"/>
                    <w:sz w:val="24"/>
                    <w:szCs w:val="24"/>
                    <w:lang w:val="en-US" w:eastAsia="zh-CN"/>
                  </w:rPr>
                </w:rPrChange>
              </w:rPr>
            </w:pPr>
            <w:r>
              <w:rPr>
                <w:rFonts w:hint="eastAsia" w:ascii="宋体" w:hAnsi="宋体" w:eastAsia="宋体" w:cs="宋体"/>
                <w:b/>
                <w:bCs/>
                <w:color w:val="auto"/>
                <w:sz w:val="24"/>
                <w:szCs w:val="24"/>
                <w:highlight w:val="none"/>
                <w:shd w:val="clear" w:color="auto" w:fill="FFFFFF"/>
                <w:lang w:val="en-US" w:eastAsia="zh-CN"/>
              </w:rPr>
              <w:t>以上方案内容，每项内容完整，切实可行，符合项目实际，有利于项目实施的4分；内容基本完整可行，基本符合项目实际的得3分；内容不完整，不完善的得1分；未提供的不得分。</w:t>
            </w:r>
          </w:p>
        </w:tc>
      </w:tr>
      <w:tr w14:paraId="6B7D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4E67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6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0A4E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6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582FD">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8908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61F2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055C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A27D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467B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6177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1EF2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CFC2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0351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F565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AE32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7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0180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775C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1DD63">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67F68">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2074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39BF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4"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DBF4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BAF9D">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B98E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DC4F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13A0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669C463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8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cs="宋体"/>
                <w:color w:val="auto"/>
                <w:sz w:val="24"/>
                <w:szCs w:val="24"/>
                <w:highlight w:val="none"/>
                <w:shd w:val="clear" w:color="auto" w:fill="FFFFFF"/>
                <w:lang w:val="en-US" w:eastAsia="zh-CN"/>
              </w:rPr>
              <w:t>8</w:t>
            </w:r>
          </w:p>
        </w:tc>
        <w:tc>
          <w:tcPr>
            <w:tcW w:w="11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687F209">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8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售后</w:t>
            </w:r>
          </w:p>
          <w:p w14:paraId="03494039">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9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服务</w:t>
            </w:r>
          </w:p>
        </w:tc>
        <w:tc>
          <w:tcPr>
            <w:tcW w:w="88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4767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default" w:ascii="宋体" w:hAnsi="宋体" w:eastAsia="宋体" w:cs="宋体"/>
                <w:color w:val="auto"/>
                <w:sz w:val="24"/>
                <w:szCs w:val="24"/>
                <w:highlight w:val="none"/>
                <w:shd w:val="clear" w:color="auto" w:fill="FFFFFF"/>
                <w:lang w:val="en-US" w:eastAsia="zh-CN"/>
              </w:rPr>
              <w:pPrChange w:id="9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6</w:t>
            </w:r>
            <w:r>
              <w:rPr>
                <w:rFonts w:hint="eastAsia" w:ascii="宋体" w:hAnsi="宋体" w:cs="宋体"/>
                <w:color w:val="auto"/>
                <w:sz w:val="24"/>
                <w:szCs w:val="24"/>
                <w:highlight w:val="none"/>
                <w:shd w:val="clear" w:color="auto" w:fill="FFFFFF"/>
                <w:lang w:val="en-US" w:eastAsia="zh-CN"/>
              </w:rPr>
              <w:t>分</w:t>
            </w:r>
          </w:p>
        </w:tc>
        <w:tc>
          <w:tcPr>
            <w:tcW w:w="7109" w:type="dxa"/>
            <w:vMerge w:val="restart"/>
            <w:tcBorders>
              <w:top w:val="single" w:color="000000" w:sz="4" w:space="0"/>
              <w:left w:val="single" w:color="000000" w:sz="4" w:space="0"/>
              <w:bottom w:val="single" w:color="000000" w:sz="4" w:space="0"/>
              <w:right w:val="single" w:color="000000" w:sz="4" w:space="0"/>
            </w:tcBorders>
            <w:noWrap w:val="0"/>
            <w:vAlign w:val="center"/>
          </w:tcPr>
          <w:p w14:paraId="3FFEA73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b/>
                <w:bCs/>
                <w:color w:val="auto"/>
                <w:sz w:val="24"/>
                <w:szCs w:val="24"/>
                <w:highlight w:val="none"/>
                <w:shd w:val="clear" w:color="auto" w:fill="FFFFFF"/>
                <w:lang w:val="en-US" w:eastAsia="zh-CN"/>
              </w:rPr>
              <w:pPrChange w:id="9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b/>
                <w:bCs/>
                <w:color w:val="auto"/>
                <w:sz w:val="24"/>
                <w:szCs w:val="24"/>
                <w:highlight w:val="none"/>
                <w:shd w:val="clear" w:color="auto" w:fill="FFFFFF"/>
                <w:lang w:val="en-US" w:eastAsia="zh-CN"/>
              </w:rPr>
              <w:t>对以下2项分别评分，每项3分：</w:t>
            </w:r>
          </w:p>
          <w:p w14:paraId="438A5AB0">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9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①明确服务期限、服务范围、联系人和受理渠道，对接口故障、支付异常等问题提出响应时限及处理安排。</w:t>
            </w:r>
          </w:p>
          <w:p w14:paraId="7A68158C">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rPr>
                <w:rFonts w:hint="eastAsia" w:ascii="宋体" w:hAnsi="宋体" w:eastAsia="宋体" w:cs="宋体"/>
                <w:color w:val="auto"/>
                <w:sz w:val="24"/>
                <w:szCs w:val="24"/>
                <w:highlight w:val="none"/>
                <w:shd w:val="clear" w:color="auto" w:fill="FFFFFF"/>
                <w:lang w:val="en-US" w:eastAsia="zh-CN"/>
              </w:rPr>
              <w:pPrChange w:id="9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left"/>
                  <w:textAlignment w:val="auto"/>
                  <w:outlineLvl w:val="0"/>
                </w:pPr>
              </w:pPrChange>
            </w:pPr>
            <w:r>
              <w:rPr>
                <w:rFonts w:hint="eastAsia" w:ascii="宋体" w:hAnsi="宋体" w:eastAsia="宋体" w:cs="宋体"/>
                <w:color w:val="auto"/>
                <w:sz w:val="24"/>
                <w:szCs w:val="24"/>
                <w:highlight w:val="none"/>
                <w:shd w:val="clear" w:color="auto" w:fill="FFFFFF"/>
                <w:lang w:val="en-US" w:eastAsia="zh-CN"/>
              </w:rPr>
              <w:t>②说明缺陷修复、日常运行支持和跨系统协同排障方式，配合处理同步、建案及支付反馈异常，并保留处理记录。</w:t>
            </w:r>
          </w:p>
          <w:p w14:paraId="6C504B92">
            <w:pPr>
              <w:pStyle w:val="2"/>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sz w:val="24"/>
                <w:szCs w:val="24"/>
                <w:highlight w:val="none"/>
                <w:lang w:val="en-US" w:eastAsia="zh-CN"/>
                <w:rPrChange w:id="95" w:author="Administrator" w:date="2026-11-06T15:58:46Z">
                  <w:rPr>
                    <w:rFonts w:hint="eastAsia"/>
                    <w:sz w:val="24"/>
                    <w:szCs w:val="24"/>
                    <w:lang w:val="en-US" w:eastAsia="zh-CN"/>
                  </w:rPr>
                </w:rPrChange>
              </w:rPr>
            </w:pPr>
            <w:r>
              <w:rPr>
                <w:rFonts w:hint="eastAsia" w:ascii="宋体" w:hAnsi="宋体" w:eastAsia="宋体" w:cs="宋体"/>
                <w:b/>
                <w:bCs/>
                <w:color w:val="auto"/>
                <w:sz w:val="24"/>
                <w:szCs w:val="24"/>
                <w:highlight w:val="none"/>
                <w:shd w:val="clear" w:color="auto" w:fill="FFFFFF"/>
                <w:lang w:val="en-US" w:eastAsia="zh-CN"/>
              </w:rPr>
              <w:t>以上方案内容，每项内容完整，切实可行，符合项目实际，有利于项目实施的得3分；内容基本完整可行，基本符合项目实际的得2分；内容不完整，不完善的得1分；未提供的不得分。</w:t>
            </w:r>
          </w:p>
        </w:tc>
      </w:tr>
      <w:tr w14:paraId="11917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A8F35">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9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F44C6">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9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64AD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9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5482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9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0096B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105D3">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55C7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80B87">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FB451">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02F47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4D6A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7B099">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12AB6">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6"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4F51B">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7"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1DB0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7F58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8"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04ABE">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09"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DD9C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0"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3489A">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1"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r w14:paraId="1A3DD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8" w:hRule="exact"/>
          <w:jc w:val="center"/>
        </w:trPr>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5C6D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2"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1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4AFA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3"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8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F31204">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4"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c>
          <w:tcPr>
            <w:tcW w:w="71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2DB32">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color w:val="auto"/>
                <w:sz w:val="24"/>
                <w:szCs w:val="24"/>
                <w:highlight w:val="none"/>
                <w:shd w:val="clear" w:color="auto" w:fill="FFFFFF"/>
                <w:lang w:val="en-US" w:eastAsia="zh-CN"/>
              </w:rPr>
              <w:pPrChange w:id="115" w:author="Administrator" w:date="2026-11-06T15:58:43Z">
                <w:pPr>
                  <w:keepNext w:val="0"/>
                  <w:keepLines w:val="0"/>
                  <w:pageBreakBefore w:val="0"/>
                  <w:widowControl w:val="0"/>
                  <w:shd w:val="clear" w:color="auto" w:fill="auto"/>
                  <w:kinsoku/>
                  <w:wordWrap/>
                  <w:overflowPunct/>
                  <w:topLinePunct w:val="0"/>
                  <w:autoSpaceDE/>
                  <w:autoSpaceDN/>
                  <w:bidi w:val="0"/>
                  <w:adjustRightInd/>
                  <w:snapToGrid/>
                  <w:spacing w:line="460" w:lineRule="exact"/>
                  <w:jc w:val="center"/>
                  <w:textAlignment w:val="auto"/>
                  <w:outlineLvl w:val="0"/>
                </w:pPr>
              </w:pPrChange>
            </w:pPr>
          </w:p>
        </w:tc>
      </w:tr>
    </w:tbl>
    <w:p w14:paraId="5EB63A9A">
      <w:pPr>
        <w:shd w:val="clear" w:color="auto" w:fill="auto"/>
        <w:spacing w:line="560" w:lineRule="exact"/>
        <w:jc w:val="both"/>
        <w:outlineLvl w:val="0"/>
        <w:rPr>
          <w:highlight w:val="none"/>
          <w:rPrChange w:id="116" w:author="Administrator" w:date="2026-11-06T15:58:46Z">
            <w:rPr/>
          </w:rPrChange>
        </w:rPr>
      </w:pPr>
    </w:p>
    <w:sectPr>
      <w:pgSz w:w="11906" w:h="16838"/>
      <w:pgMar w:top="1134" w:right="1701"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DF0C7A72-4A2E-4E26-92EC-E5912BD7F64F}"/>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2326E"/>
    <w:rsid w:val="01787946"/>
    <w:rsid w:val="21450593"/>
    <w:rsid w:val="39E711A9"/>
    <w:rsid w:val="549F136E"/>
    <w:rsid w:val="5B5916BE"/>
    <w:rsid w:val="5D994CC4"/>
    <w:rsid w:val="5FB2326E"/>
    <w:rsid w:val="64CA3CDF"/>
    <w:rsid w:val="D5DC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link w:val="9"/>
    <w:qFormat/>
    <w:uiPriority w:val="0"/>
    <w:pPr>
      <w:keepNext/>
      <w:keepLines/>
      <w:spacing w:before="100" w:beforeLines="100" w:beforeAutospacing="0" w:after="100" w:afterLines="100" w:afterAutospacing="0" w:line="240" w:lineRule="auto"/>
      <w:jc w:val="center"/>
      <w:outlineLvl w:val="0"/>
    </w:pPr>
    <w:rPr>
      <w:rFonts w:ascii="Times New Roman" w:hAnsi="Times New Roman" w:eastAsia="宋体"/>
      <w:b/>
      <w:kern w:val="44"/>
      <w:sz w:val="32"/>
      <w:szCs w:val="2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5">
    <w:name w:val="Body Text 2"/>
    <w:basedOn w:val="1"/>
    <w:unhideWhenUsed/>
    <w:qFormat/>
    <w:uiPriority w:val="99"/>
    <w:pPr>
      <w:spacing w:after="120" w:line="480" w:lineRule="auto"/>
    </w:pPr>
  </w:style>
  <w:style w:type="paragraph" w:styleId="6">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character" w:customStyle="1" w:styleId="9">
    <w:name w:val="标题 1 Char"/>
    <w:link w:val="3"/>
    <w:qFormat/>
    <w:uiPriority w:val="0"/>
    <w:rPr>
      <w:rFonts w:ascii="Times New Roman" w:hAnsi="Times New Roman" w:eastAsia="宋体"/>
      <w:b/>
      <w:kern w:val="44"/>
      <w:sz w:val="32"/>
      <w:szCs w:val="22"/>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964</Words>
  <Characters>981</Characters>
  <Lines>0</Lines>
  <Paragraphs>0</Paragraphs>
  <TotalTime>0</TotalTime>
  <ScaleCrop>false</ScaleCrop>
  <LinksUpToDate>false</LinksUpToDate>
  <CharactersWithSpaces>983</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2026-11-05T12:48:00Z</dcterms:created>
  <dc:creator>Administrator</dc:creator>
  <cp:lastModifiedBy>信息安全头等舱</cp:lastModifiedBy>
  <cp:lastPrinted>2026-11-05T15:16:00Z</cp:lastPrinted>
  <dcterms:modified xsi:type="dcterms:W3CDTF">2026-11-06T09:49:02Z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C64707D06CF0490196F6B8BCA392892A_13</vt:lpwstr>
  </property>
  <property fmtid="{D5CDD505-2E9C-101B-9397-08002B2CF9AE}" pid="4" name="KSOTemplateDocerSaveRecord">
    <vt:lpwstr>eyJoZGlkIjoiNjEwMTAwNTFkNGM2YWM0NTk1OGNlYTdjZmQyOWM1NTkiLCJ1c2VySWQiOiIzMDMwMTE5OCJ9</vt:lpwstr>
  </property>
</Properties>
</file>